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EE6" w:rsidRDefault="00942EE6" w:rsidP="00942EE6">
      <w:pPr>
        <w:widowControl/>
        <w:shd w:val="clear" w:color="auto" w:fill="FFFFFF"/>
        <w:spacing w:line="560" w:lineRule="exact"/>
        <w:jc w:val="center"/>
        <w:rPr>
          <w:rFonts w:ascii="宋体" w:hAnsi="宋体"/>
          <w:b/>
          <w:bCs/>
          <w:kern w:val="0"/>
          <w:sz w:val="44"/>
          <w:szCs w:val="44"/>
        </w:rPr>
      </w:pPr>
      <w:r>
        <w:rPr>
          <w:rFonts w:ascii="宋体" w:hAnsi="宋体"/>
          <w:b/>
          <w:bCs/>
          <w:kern w:val="0"/>
          <w:sz w:val="44"/>
          <w:szCs w:val="44"/>
        </w:rPr>
        <w:t>苏州市</w:t>
      </w:r>
      <w:r>
        <w:rPr>
          <w:rFonts w:ascii="宋体" w:hAnsi="宋体" w:hint="eastAsia"/>
          <w:b/>
          <w:bCs/>
          <w:kern w:val="0"/>
          <w:sz w:val="44"/>
          <w:szCs w:val="44"/>
        </w:rPr>
        <w:t>加工贸易废料交易</w:t>
      </w:r>
    </w:p>
    <w:p w:rsidR="00942EE6" w:rsidRDefault="00942EE6" w:rsidP="00942EE6">
      <w:pPr>
        <w:widowControl/>
        <w:shd w:val="clear" w:color="auto" w:fill="FFFFFF"/>
        <w:spacing w:line="560" w:lineRule="exact"/>
        <w:jc w:val="center"/>
        <w:rPr>
          <w:rFonts w:ascii="宋体" w:hAnsi="宋体"/>
          <w:b/>
          <w:bCs/>
          <w:kern w:val="0"/>
          <w:sz w:val="44"/>
          <w:szCs w:val="44"/>
        </w:rPr>
      </w:pPr>
      <w:r>
        <w:rPr>
          <w:rFonts w:ascii="宋体" w:hAnsi="宋体"/>
          <w:b/>
          <w:bCs/>
          <w:kern w:val="0"/>
          <w:sz w:val="44"/>
          <w:szCs w:val="44"/>
        </w:rPr>
        <w:t>不良行为惩戒实施办法</w:t>
      </w:r>
    </w:p>
    <w:p w:rsidR="00942EE6" w:rsidRDefault="00942EE6" w:rsidP="00942EE6">
      <w:pPr>
        <w:widowControl/>
        <w:shd w:val="clear" w:color="auto" w:fill="FFFFFF"/>
        <w:spacing w:line="560" w:lineRule="exact"/>
        <w:jc w:val="center"/>
        <w:rPr>
          <w:rFonts w:ascii="宋体" w:hAnsi="宋体"/>
          <w:b/>
          <w:bCs/>
          <w:kern w:val="0"/>
          <w:sz w:val="44"/>
          <w:szCs w:val="44"/>
        </w:rPr>
      </w:pPr>
      <w:r>
        <w:rPr>
          <w:rFonts w:ascii="宋体" w:hAnsi="宋体"/>
          <w:b/>
          <w:bCs/>
          <w:kern w:val="0"/>
          <w:sz w:val="44"/>
          <w:szCs w:val="44"/>
        </w:rPr>
        <w:t>（试  行）</w:t>
      </w:r>
    </w:p>
    <w:p w:rsidR="00942EE6" w:rsidRDefault="00942EE6" w:rsidP="00942EE6">
      <w:pPr>
        <w:widowControl/>
        <w:shd w:val="clear" w:color="auto" w:fill="FFFFFF"/>
        <w:spacing w:line="560" w:lineRule="exact"/>
        <w:jc w:val="center"/>
        <w:rPr>
          <w:rFonts w:ascii="宋体" w:hAnsi="宋体"/>
          <w:b/>
          <w:bCs/>
          <w:kern w:val="0"/>
          <w:sz w:val="44"/>
          <w:szCs w:val="44"/>
        </w:rPr>
      </w:pPr>
    </w:p>
    <w:p w:rsidR="00942EE6" w:rsidRDefault="00942EE6" w:rsidP="00942EE6">
      <w:pPr>
        <w:widowControl/>
        <w:numPr>
          <w:ilvl w:val="0"/>
          <w:numId w:val="1"/>
        </w:numPr>
        <w:shd w:val="clear" w:color="auto" w:fill="FFFFFF"/>
        <w:spacing w:line="560" w:lineRule="exact"/>
        <w:jc w:val="center"/>
        <w:rPr>
          <w:rFonts w:ascii="黑体" w:eastAsia="黑体" w:hAnsi="黑体" w:cs="黑体"/>
          <w:bCs/>
          <w:kern w:val="0"/>
          <w:sz w:val="30"/>
          <w:szCs w:val="30"/>
        </w:rPr>
      </w:pPr>
      <w:r>
        <w:rPr>
          <w:rFonts w:ascii="黑体" w:eastAsia="黑体" w:hAnsi="黑体" w:cs="黑体" w:hint="eastAsia"/>
          <w:bCs/>
          <w:kern w:val="0"/>
          <w:sz w:val="30"/>
          <w:szCs w:val="30"/>
        </w:rPr>
        <w:t>总则</w:t>
      </w:r>
    </w:p>
    <w:p w:rsidR="00942EE6" w:rsidRDefault="00942EE6" w:rsidP="00942EE6">
      <w:pPr>
        <w:widowControl/>
        <w:shd w:val="clear" w:color="auto" w:fill="FFFFFF"/>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 xml:space="preserve">第一条 </w:t>
      </w:r>
      <w:r>
        <w:rPr>
          <w:rFonts w:ascii="仿宋" w:eastAsia="仿宋" w:hAnsi="仿宋" w:cs="仿宋" w:hint="eastAsia"/>
          <w:kern w:val="0"/>
          <w:sz w:val="32"/>
          <w:szCs w:val="32"/>
        </w:rPr>
        <w:t>为建立规范的加工贸易废料交易秩序，进一步加强加工贸易废料交易市场信用体系建设，强化对苏州市加工贸易废料的监督管理,促进交易市场买卖主体的依法经营，维护市场公平竞争，根据《反不正当竞争法》、《苏州市加工贸易废料交易管理暂行办法》、《苏州市加工贸易废料交易管理暂行办法实施细则》，制定本办法。</w:t>
      </w:r>
    </w:p>
    <w:p w:rsidR="00942EE6" w:rsidRDefault="00942EE6" w:rsidP="00942EE6">
      <w:pPr>
        <w:widowControl/>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 xml:space="preserve">第二条 </w:t>
      </w:r>
      <w:r>
        <w:rPr>
          <w:rFonts w:ascii="仿宋" w:eastAsia="仿宋" w:hAnsi="仿宋" w:cs="仿宋" w:hint="eastAsia"/>
          <w:kern w:val="0"/>
          <w:sz w:val="32"/>
          <w:szCs w:val="32"/>
        </w:rPr>
        <w:t>在本市行政区域内，从事加工贸易废料交易活动，实施对加工贸易废料交易的监督管理，应当遵守本办法。</w:t>
      </w:r>
    </w:p>
    <w:p w:rsidR="00942EE6" w:rsidRDefault="00942EE6" w:rsidP="00942EE6">
      <w:pPr>
        <w:widowControl/>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 xml:space="preserve">第三条 </w:t>
      </w:r>
      <w:r>
        <w:rPr>
          <w:rFonts w:ascii="仿宋" w:eastAsia="仿宋" w:hAnsi="仿宋" w:cs="仿宋" w:hint="eastAsia"/>
          <w:kern w:val="0"/>
          <w:sz w:val="32"/>
          <w:szCs w:val="32"/>
        </w:rPr>
        <w:t>苏州市加工贸易废料交易平台联席会议</w:t>
      </w:r>
      <w:r>
        <w:rPr>
          <w:rFonts w:ascii="仿宋" w:eastAsia="仿宋" w:hAnsi="仿宋" w:cs="Arial" w:hint="eastAsia"/>
          <w:kern w:val="0"/>
          <w:sz w:val="32"/>
          <w:szCs w:val="32"/>
        </w:rPr>
        <w:t>办公室下设</w:t>
      </w:r>
      <w:r>
        <w:rPr>
          <w:rFonts w:ascii="仿宋" w:eastAsia="仿宋" w:hAnsi="仿宋" w:cs="仿宋" w:hint="eastAsia"/>
          <w:kern w:val="0"/>
          <w:sz w:val="32"/>
          <w:szCs w:val="32"/>
        </w:rPr>
        <w:t>由财政、监察、经信、环保、工商、苏州海关、苏州工业园区海关、张家港海关等行政主管部门组成的纠纷处理工作小组（以下简称“工作小组”），具体负责交易纠纷的处置工作。工作小组视纠纷复杂程度，可建立行业专家小组库，协助工作小组进行事实与责任判定。苏州产权交易中心（以下简称“交易中心”）负责本办法的具体实施工作。</w:t>
      </w:r>
    </w:p>
    <w:p w:rsidR="00942EE6" w:rsidRDefault="00942EE6" w:rsidP="00942EE6">
      <w:pPr>
        <w:widowControl/>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第四条</w:t>
      </w:r>
      <w:r>
        <w:rPr>
          <w:rFonts w:ascii="仿宋" w:eastAsia="仿宋" w:hAnsi="仿宋" w:cs="仿宋" w:hint="eastAsia"/>
          <w:kern w:val="0"/>
          <w:sz w:val="32"/>
          <w:szCs w:val="32"/>
        </w:rPr>
        <w:t xml:space="preserve"> 交易中心可决定或根据交易一方的书面申请，对交易活动中因另一方出现的不良行为而不能缔约的情形</w:t>
      </w:r>
      <w:r>
        <w:rPr>
          <w:rFonts w:ascii="仿宋" w:eastAsia="仿宋" w:hAnsi="仿宋" w:cs="仿宋" w:hint="eastAsia"/>
          <w:kern w:val="0"/>
          <w:sz w:val="32"/>
          <w:szCs w:val="32"/>
        </w:rPr>
        <w:lastRenderedPageBreak/>
        <w:t>根据《苏州市加工贸易废料交易纠纷调解程序指引》进行调解。</w:t>
      </w:r>
    </w:p>
    <w:p w:rsidR="00942EE6" w:rsidRDefault="00942EE6" w:rsidP="00942EE6">
      <w:pPr>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第五条</w:t>
      </w:r>
      <w:r>
        <w:rPr>
          <w:rFonts w:ascii="仿宋" w:eastAsia="仿宋" w:hAnsi="仿宋" w:cs="仿宋" w:hint="eastAsia"/>
          <w:kern w:val="0"/>
          <w:sz w:val="32"/>
          <w:szCs w:val="32"/>
        </w:rPr>
        <w:t xml:space="preserve"> 交易双方如调解不成，可申请工作小组进行纠纷处置或通过司法、仲裁途径解决纠纷。</w:t>
      </w:r>
    </w:p>
    <w:p w:rsidR="00942EE6" w:rsidRDefault="00942EE6" w:rsidP="00942EE6">
      <w:pPr>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交易中心也可对于重大复杂的纠纷情况提请工作小组进行处理。</w:t>
      </w:r>
    </w:p>
    <w:p w:rsidR="00942EE6" w:rsidRDefault="00942EE6" w:rsidP="00942EE6">
      <w:pPr>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第六条</w:t>
      </w:r>
      <w:r>
        <w:rPr>
          <w:rFonts w:ascii="仿宋" w:eastAsia="仿宋" w:hAnsi="仿宋" w:cs="仿宋" w:hint="eastAsia"/>
          <w:kern w:val="0"/>
          <w:sz w:val="32"/>
          <w:szCs w:val="32"/>
        </w:rPr>
        <w:t xml:space="preserve"> 工作小组负责对交易双方申请及交易中心提交的纠纷查明事实、判定责任后作出处理意见，对于有不良行为的一方可</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包括但不仅限于警告、通报、提高保证金、暂停交易或取消资格等处罚决定。</w:t>
      </w:r>
    </w:p>
    <w:p w:rsidR="00942EE6" w:rsidRDefault="00942EE6" w:rsidP="00942EE6">
      <w:pPr>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第七条</w:t>
      </w:r>
      <w:r>
        <w:rPr>
          <w:rFonts w:ascii="仿宋" w:eastAsia="仿宋" w:hAnsi="仿宋" w:cs="仿宋" w:hint="eastAsia"/>
          <w:kern w:val="0"/>
          <w:sz w:val="32"/>
          <w:szCs w:val="32"/>
        </w:rPr>
        <w:t xml:space="preserve"> 交易中心按工作小组</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的处理意见、法院判决、仲裁决定书执行。</w:t>
      </w:r>
    </w:p>
    <w:p w:rsidR="00942EE6" w:rsidRDefault="00942EE6" w:rsidP="00942EE6">
      <w:pPr>
        <w:widowControl/>
        <w:numPr>
          <w:ilvl w:val="0"/>
          <w:numId w:val="1"/>
        </w:numPr>
        <w:shd w:val="clear" w:color="auto" w:fill="FFFFFF"/>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不良行为</w:t>
      </w:r>
    </w:p>
    <w:p w:rsidR="00942EE6" w:rsidRDefault="00942EE6" w:rsidP="00942EE6">
      <w:pPr>
        <w:widowControl/>
        <w:shd w:val="clear" w:color="auto" w:fill="FFFFFF"/>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第八条</w:t>
      </w:r>
      <w:r>
        <w:rPr>
          <w:rFonts w:ascii="仿宋" w:eastAsia="仿宋" w:hAnsi="仿宋" w:cs="仿宋" w:hint="eastAsia"/>
          <w:kern w:val="0"/>
          <w:sz w:val="32"/>
          <w:szCs w:val="32"/>
        </w:rPr>
        <w:t xml:space="preserve"> 本办法所称加工贸易废料交易活动不良行为，是指交易各方在竞价和履约活动过程中非因发生不可抗力、交易中心相关规则规定、合同约定的相关情形而取消缔约或解除交易的行为，或构成《实施细则》第二十三条所指的行为。</w:t>
      </w:r>
    </w:p>
    <w:p w:rsidR="00942EE6" w:rsidRDefault="00942EE6" w:rsidP="00942EE6">
      <w:pPr>
        <w:widowControl/>
        <w:shd w:val="clear" w:color="auto" w:fill="FFFFFF"/>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第九条</w:t>
      </w:r>
      <w:r>
        <w:rPr>
          <w:rFonts w:ascii="仿宋" w:eastAsia="仿宋" w:hAnsi="仿宋" w:cs="仿宋" w:hint="eastAsia"/>
          <w:kern w:val="0"/>
          <w:sz w:val="32"/>
          <w:szCs w:val="32"/>
        </w:rPr>
        <w:t xml:space="preserve"> 转让方企业不良行为包括但不仅限于以下情形：</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（一）公告内容（包括但不限于交易标的</w:t>
      </w:r>
      <w:proofErr w:type="gramStart"/>
      <w:r>
        <w:rPr>
          <w:rFonts w:ascii="仿宋" w:eastAsia="仿宋" w:hAnsi="仿宋" w:cs="仿宋" w:hint="eastAsia"/>
          <w:kern w:val="0"/>
          <w:sz w:val="32"/>
          <w:szCs w:val="32"/>
        </w:rPr>
        <w:t>的</w:t>
      </w:r>
      <w:proofErr w:type="gramEnd"/>
      <w:r>
        <w:rPr>
          <w:rFonts w:ascii="仿宋" w:eastAsia="仿宋" w:hAnsi="仿宋" w:cs="仿宋" w:hint="eastAsia"/>
          <w:kern w:val="0"/>
          <w:sz w:val="32"/>
          <w:szCs w:val="32"/>
        </w:rPr>
        <w:t>数量与品质的描述）不真实、不准确或有重大遗漏，给买方企业造成重大误解的；</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（二）公告中设置不合理限制条件，故意排斥买方企业，经交易中心指出后，拒绝改正的；</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（三）出示样品无法真实、全面的反映标的实际情况，与转让公告中对标的物的描述不符或标的有重大瑕疵而未向买方企业说明的；</w:t>
      </w:r>
    </w:p>
    <w:p w:rsidR="00942EE6" w:rsidRDefault="00942EE6" w:rsidP="00942EE6">
      <w:pPr>
        <w:widowControl/>
        <w:shd w:val="clear" w:color="auto" w:fill="FFFFFF"/>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（四）以权属不明或者存在权属纠纷的加工贸易废料进行交易的；</w:t>
      </w:r>
    </w:p>
    <w:p w:rsidR="00942EE6" w:rsidRDefault="00942EE6" w:rsidP="00942EE6">
      <w:pPr>
        <w:widowControl/>
        <w:shd w:val="clear" w:color="auto" w:fill="FFFFFF"/>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（五）公告发布期间，无正当理由撤销公告，给买方企业造成经济损失的；</w:t>
      </w:r>
    </w:p>
    <w:p w:rsidR="00942EE6" w:rsidRDefault="00942EE6" w:rsidP="00942EE6">
      <w:pPr>
        <w:widowControl/>
        <w:shd w:val="clear" w:color="auto" w:fill="FFFFFF"/>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（六）恶意串标的；</w:t>
      </w:r>
    </w:p>
    <w:p w:rsidR="00942EE6" w:rsidRDefault="00942EE6" w:rsidP="00942EE6">
      <w:pPr>
        <w:widowControl/>
        <w:shd w:val="clear" w:color="auto" w:fill="FFFFFF"/>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（七）采取欺诈、胁迫等手段，妨碍公平交易的；</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（八）签订合同过程中，出现公告中未注明的缔约或履约条件，致使买方企业因实际履约可能存在的重大障碍而无法缔约的；</w:t>
      </w:r>
    </w:p>
    <w:p w:rsidR="00942EE6" w:rsidRDefault="00942EE6" w:rsidP="00942EE6">
      <w:pPr>
        <w:widowControl/>
        <w:shd w:val="clear" w:color="auto" w:fill="FFFFFF"/>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（九）恶意拖延订立书面合同的；</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（十）其他破坏正常交易秩序的行为。</w:t>
      </w:r>
    </w:p>
    <w:p w:rsidR="00942EE6" w:rsidRDefault="00942EE6" w:rsidP="00942EE6">
      <w:pPr>
        <w:widowControl/>
        <w:shd w:val="clear" w:color="auto" w:fill="FFFFFF"/>
        <w:spacing w:line="360" w:lineRule="auto"/>
        <w:ind w:firstLineChars="250" w:firstLine="803"/>
        <w:rPr>
          <w:rFonts w:ascii="仿宋" w:eastAsia="仿宋" w:hAnsi="仿宋" w:cs="仿宋"/>
          <w:kern w:val="0"/>
          <w:sz w:val="32"/>
          <w:szCs w:val="32"/>
        </w:rPr>
      </w:pPr>
      <w:r>
        <w:rPr>
          <w:rFonts w:ascii="仿宋" w:eastAsia="仿宋" w:hAnsi="仿宋" w:cs="仿宋" w:hint="eastAsia"/>
          <w:b/>
          <w:bCs/>
          <w:kern w:val="0"/>
          <w:sz w:val="32"/>
          <w:szCs w:val="32"/>
        </w:rPr>
        <w:t>第十条</w:t>
      </w:r>
      <w:r>
        <w:rPr>
          <w:rFonts w:ascii="仿宋" w:eastAsia="仿宋" w:hAnsi="仿宋" w:cs="仿宋" w:hint="eastAsia"/>
          <w:kern w:val="0"/>
          <w:sz w:val="32"/>
          <w:szCs w:val="32"/>
        </w:rPr>
        <w:t xml:space="preserve"> 买方企业不良行为包括但不仅限于以下情形：</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（一）因对公告理解错误、看样有误或在竞价活动中操作有误放弃竞得货物的；</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（二）因自身原因放弃竞得货物的；</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（三）以他人名义或允许他人以本买方企业名义参与竞价的相互挂靠行为；</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（四）恶意串标或不同买方企业委托同一人竞价的；</w:t>
      </w:r>
    </w:p>
    <w:p w:rsidR="00942EE6" w:rsidRDefault="00942EE6" w:rsidP="00942EE6">
      <w:pPr>
        <w:widowControl/>
        <w:shd w:val="clear" w:color="auto" w:fill="FFFFFF"/>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（五）采取欺诈、胁迫等手段，妨碍公平交易的；</w:t>
      </w:r>
    </w:p>
    <w:p w:rsidR="00942EE6" w:rsidRDefault="00942EE6" w:rsidP="00942EE6">
      <w:pPr>
        <w:widowControl/>
        <w:shd w:val="clear" w:color="auto" w:fill="FFFFFF"/>
        <w:spacing w:line="360" w:lineRule="auto"/>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（六）恶意拖延订立书面合同的；</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（七）其他在参与竞买的过程中存在违反规定或约定，在竞价过程中，扰乱竞价交易活动正常秩序，影响竞价活动公正性的行为。</w:t>
      </w:r>
    </w:p>
    <w:p w:rsidR="00942EE6" w:rsidRDefault="00942EE6" w:rsidP="00942EE6">
      <w:pPr>
        <w:widowControl/>
        <w:numPr>
          <w:ilvl w:val="0"/>
          <w:numId w:val="1"/>
        </w:numPr>
        <w:shd w:val="clear" w:color="auto" w:fill="FFFFFF"/>
        <w:spacing w:line="360" w:lineRule="auto"/>
        <w:jc w:val="center"/>
        <w:rPr>
          <w:rFonts w:ascii="黑体" w:eastAsia="黑体" w:hAnsi="黑体" w:cs="黑体"/>
          <w:bCs/>
          <w:kern w:val="0"/>
          <w:sz w:val="32"/>
          <w:szCs w:val="32"/>
        </w:rPr>
      </w:pPr>
      <w:r>
        <w:rPr>
          <w:rFonts w:ascii="黑体" w:eastAsia="黑体" w:hAnsi="黑体" w:cs="黑体" w:hint="eastAsia"/>
          <w:bCs/>
          <w:kern w:val="0"/>
          <w:sz w:val="32"/>
          <w:szCs w:val="32"/>
        </w:rPr>
        <w:t>对不良行为的处理</w:t>
      </w:r>
    </w:p>
    <w:p w:rsidR="00942EE6" w:rsidRDefault="00942EE6" w:rsidP="00942EE6">
      <w:pPr>
        <w:widowControl/>
        <w:shd w:val="clear" w:color="auto" w:fill="FFFFFF"/>
        <w:spacing w:line="360" w:lineRule="auto"/>
        <w:ind w:firstLineChars="250" w:firstLine="803"/>
        <w:rPr>
          <w:rFonts w:ascii="仿宋" w:eastAsia="仿宋" w:hAnsi="仿宋" w:cs="仿宋"/>
          <w:kern w:val="0"/>
          <w:sz w:val="32"/>
          <w:szCs w:val="32"/>
        </w:rPr>
      </w:pPr>
      <w:r>
        <w:rPr>
          <w:rFonts w:ascii="仿宋" w:eastAsia="仿宋" w:hAnsi="仿宋" w:cs="仿宋" w:hint="eastAsia"/>
          <w:b/>
          <w:bCs/>
          <w:kern w:val="0"/>
          <w:sz w:val="32"/>
          <w:szCs w:val="32"/>
        </w:rPr>
        <w:t>第十一条</w:t>
      </w:r>
      <w:r>
        <w:rPr>
          <w:rFonts w:ascii="仿宋" w:eastAsia="仿宋" w:hAnsi="仿宋" w:cs="仿宋" w:hint="eastAsia"/>
          <w:kern w:val="0"/>
          <w:sz w:val="32"/>
          <w:szCs w:val="32"/>
        </w:rPr>
        <w:t xml:space="preserve"> 工作小组可以决定是否对交易双方的纠纷处置申请进行受理。</w:t>
      </w:r>
    </w:p>
    <w:p w:rsidR="00942EE6" w:rsidRDefault="00942EE6" w:rsidP="00942EE6">
      <w:pPr>
        <w:widowControl/>
        <w:shd w:val="clear" w:color="auto" w:fill="FFFFFF"/>
        <w:spacing w:line="360" w:lineRule="auto"/>
        <w:ind w:firstLineChars="250" w:firstLine="803"/>
        <w:rPr>
          <w:rFonts w:ascii="仿宋" w:eastAsia="仿宋" w:hAnsi="仿宋" w:cs="仿宋"/>
          <w:kern w:val="0"/>
          <w:sz w:val="32"/>
          <w:szCs w:val="32"/>
        </w:rPr>
      </w:pPr>
      <w:r>
        <w:rPr>
          <w:rFonts w:ascii="仿宋" w:eastAsia="仿宋" w:hAnsi="仿宋" w:cs="仿宋" w:hint="eastAsia"/>
          <w:b/>
          <w:bCs/>
          <w:kern w:val="0"/>
          <w:sz w:val="32"/>
          <w:szCs w:val="32"/>
        </w:rPr>
        <w:t>第十二条</w:t>
      </w:r>
      <w:r>
        <w:rPr>
          <w:rFonts w:ascii="仿宋" w:eastAsia="仿宋" w:hAnsi="仿宋" w:cs="仿宋"/>
          <w:kern w:val="0"/>
          <w:sz w:val="32"/>
          <w:szCs w:val="32"/>
        </w:rPr>
        <w:t xml:space="preserve"> </w:t>
      </w:r>
      <w:r>
        <w:rPr>
          <w:rFonts w:ascii="仿宋" w:eastAsia="仿宋" w:hAnsi="仿宋" w:cs="仿宋" w:hint="eastAsia"/>
          <w:kern w:val="0"/>
          <w:sz w:val="32"/>
          <w:szCs w:val="32"/>
        </w:rPr>
        <w:t>工作小组在事实认定清楚的情形下，对有不良行为的交易一方进行相应的处理：</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（一）交易一方发生本办法第九条或第十条的情形而导致无法缔约的，直接扣划保证金给交易对方；</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（二）有不良行为的交易方必须按此次交易标的成交金额的百分之四向交易中心指定账户缴纳此次交易的</w:t>
      </w:r>
      <w:r>
        <w:rPr>
          <w:rFonts w:ascii="仿宋" w:eastAsia="仿宋" w:hAnsi="仿宋" w:cs="仿宋" w:hint="eastAsia"/>
          <w:b/>
          <w:kern w:val="0"/>
          <w:sz w:val="32"/>
          <w:szCs w:val="32"/>
        </w:rPr>
        <w:t>挂牌费用</w:t>
      </w:r>
      <w:r>
        <w:rPr>
          <w:rFonts w:ascii="仿宋" w:eastAsia="仿宋" w:hAnsi="仿宋" w:cs="仿宋" w:hint="eastAsia"/>
          <w:kern w:val="0"/>
          <w:sz w:val="32"/>
          <w:szCs w:val="32"/>
        </w:rPr>
        <w:t>，挂牌费用到账前，交易中心停止明显有不良行为方参加交易中心其他交易活动；</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（三）有不良行为的交易一方，进行年度累计计次登记，记入不良记录，并由交易中心通过网站对外公布；</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（四）交易双方年度累计不良行为计次达</w:t>
      </w:r>
      <w:r>
        <w:rPr>
          <w:rFonts w:ascii="仿宋" w:eastAsia="仿宋" w:hAnsi="仿宋" w:cs="仿宋"/>
          <w:kern w:val="0"/>
          <w:sz w:val="32"/>
          <w:szCs w:val="32"/>
        </w:rPr>
        <w:t>2</w:t>
      </w:r>
      <w:r>
        <w:rPr>
          <w:rFonts w:ascii="仿宋" w:eastAsia="仿宋" w:hAnsi="仿宋" w:cs="仿宋" w:hint="eastAsia"/>
          <w:kern w:val="0"/>
          <w:sz w:val="32"/>
          <w:szCs w:val="32"/>
        </w:rPr>
        <w:t>次以上（含2次）的，该年度保证金赔付比例提高；</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（五）买方企业不良行为年度累计计次达到</w:t>
      </w:r>
      <w:r>
        <w:rPr>
          <w:rFonts w:ascii="仿宋" w:eastAsia="仿宋" w:hAnsi="仿宋" w:cs="仿宋"/>
          <w:kern w:val="0"/>
          <w:sz w:val="32"/>
          <w:szCs w:val="32"/>
        </w:rPr>
        <w:t>2</w:t>
      </w:r>
      <w:r>
        <w:rPr>
          <w:rFonts w:ascii="仿宋" w:eastAsia="仿宋" w:hAnsi="仿宋" w:cs="仿宋" w:hint="eastAsia"/>
          <w:kern w:val="0"/>
          <w:sz w:val="32"/>
          <w:szCs w:val="32"/>
        </w:rPr>
        <w:t>次的，自工作小组</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判定之日起，暂停其交易资格</w:t>
      </w:r>
      <w:r>
        <w:rPr>
          <w:rFonts w:ascii="仿宋" w:eastAsia="仿宋" w:hAnsi="仿宋" w:cs="仿宋"/>
          <w:kern w:val="0"/>
          <w:sz w:val="32"/>
          <w:szCs w:val="32"/>
        </w:rPr>
        <w:t>3</w:t>
      </w:r>
      <w:r>
        <w:rPr>
          <w:rFonts w:ascii="仿宋" w:eastAsia="仿宋" w:hAnsi="仿宋" w:cs="仿宋" w:hint="eastAsia"/>
          <w:kern w:val="0"/>
          <w:sz w:val="32"/>
          <w:szCs w:val="32"/>
        </w:rPr>
        <w:t>个月；年度累计计次达到</w:t>
      </w:r>
      <w:r>
        <w:rPr>
          <w:rFonts w:ascii="仿宋" w:eastAsia="仿宋" w:hAnsi="仿宋" w:cs="仿宋"/>
          <w:kern w:val="0"/>
          <w:sz w:val="32"/>
          <w:szCs w:val="32"/>
        </w:rPr>
        <w:t>3</w:t>
      </w:r>
      <w:r>
        <w:rPr>
          <w:rFonts w:ascii="仿宋" w:eastAsia="仿宋" w:hAnsi="仿宋" w:cs="仿宋" w:hint="eastAsia"/>
          <w:kern w:val="0"/>
          <w:sz w:val="32"/>
          <w:szCs w:val="32"/>
        </w:rPr>
        <w:t>次的，自工作小组</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判定之日起，暂停其交易资格</w:t>
      </w:r>
      <w:r>
        <w:rPr>
          <w:rFonts w:ascii="仿宋" w:eastAsia="仿宋" w:hAnsi="仿宋" w:cs="仿宋"/>
          <w:kern w:val="0"/>
          <w:sz w:val="32"/>
          <w:szCs w:val="32"/>
        </w:rPr>
        <w:t>6</w:t>
      </w:r>
      <w:r>
        <w:rPr>
          <w:rFonts w:ascii="仿宋" w:eastAsia="仿宋" w:hAnsi="仿宋" w:cs="仿宋" w:hint="eastAsia"/>
          <w:kern w:val="0"/>
          <w:sz w:val="32"/>
          <w:szCs w:val="32"/>
        </w:rPr>
        <w:t>个月；年度累计计次达到</w:t>
      </w:r>
      <w:r>
        <w:rPr>
          <w:rFonts w:ascii="仿宋" w:eastAsia="仿宋" w:hAnsi="仿宋" w:cs="仿宋"/>
          <w:kern w:val="0"/>
          <w:sz w:val="32"/>
          <w:szCs w:val="32"/>
        </w:rPr>
        <w:t>4</w:t>
      </w:r>
      <w:r>
        <w:rPr>
          <w:rFonts w:ascii="仿宋" w:eastAsia="仿宋" w:hAnsi="仿宋" w:cs="仿宋" w:hint="eastAsia"/>
          <w:kern w:val="0"/>
          <w:sz w:val="32"/>
          <w:szCs w:val="32"/>
        </w:rPr>
        <w:t>次的，自工作小组</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 xml:space="preserve">判定之日起，暂停一年交易资格。 </w:t>
      </w:r>
    </w:p>
    <w:p w:rsidR="00942EE6" w:rsidRDefault="00942EE6" w:rsidP="00942EE6">
      <w:pPr>
        <w:widowControl/>
        <w:shd w:val="clear" w:color="auto" w:fill="FFFFFF"/>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第十三条</w:t>
      </w:r>
      <w:r>
        <w:rPr>
          <w:rFonts w:ascii="仿宋" w:eastAsia="仿宋" w:hAnsi="仿宋" w:cs="仿宋" w:hint="eastAsia"/>
          <w:kern w:val="0"/>
          <w:sz w:val="32"/>
          <w:szCs w:val="32"/>
        </w:rPr>
        <w:t xml:space="preserve"> 工作小组对于转让方企业出现的严重不良行为，可视情形</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通报主管海关、报全市通报的决定。</w:t>
      </w:r>
    </w:p>
    <w:p w:rsidR="00942EE6" w:rsidRDefault="00942EE6" w:rsidP="00942EE6">
      <w:pPr>
        <w:widowControl/>
        <w:shd w:val="clear" w:color="auto" w:fill="FFFFFF"/>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第十四条</w:t>
      </w:r>
      <w:r>
        <w:rPr>
          <w:rFonts w:ascii="仿宋" w:eastAsia="仿宋" w:hAnsi="仿宋" w:cs="仿宋" w:hint="eastAsia"/>
          <w:kern w:val="0"/>
          <w:sz w:val="32"/>
          <w:szCs w:val="32"/>
        </w:rPr>
        <w:t xml:space="preserve"> 工作小组</w:t>
      </w:r>
      <w:proofErr w:type="gramStart"/>
      <w:r>
        <w:rPr>
          <w:rFonts w:ascii="仿宋" w:eastAsia="仿宋" w:hAnsi="仿宋" w:cs="仿宋" w:hint="eastAsia"/>
          <w:kern w:val="0"/>
          <w:sz w:val="32"/>
          <w:szCs w:val="32"/>
        </w:rPr>
        <w:t>作出</w:t>
      </w:r>
      <w:proofErr w:type="gramEnd"/>
      <w:r>
        <w:rPr>
          <w:rFonts w:ascii="仿宋" w:eastAsia="仿宋" w:hAnsi="仿宋" w:cs="仿宋" w:hint="eastAsia"/>
          <w:kern w:val="0"/>
          <w:sz w:val="32"/>
          <w:szCs w:val="32"/>
        </w:rPr>
        <w:t>的纠纷处理决定，应当通过交易中心网站予以公示。</w:t>
      </w:r>
    </w:p>
    <w:p w:rsidR="00942EE6" w:rsidRDefault="00942EE6" w:rsidP="00942EE6">
      <w:pPr>
        <w:widowControl/>
        <w:shd w:val="clear" w:color="auto" w:fill="FFFFFF"/>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第十五条</w:t>
      </w:r>
      <w:r>
        <w:rPr>
          <w:rFonts w:ascii="仿宋" w:eastAsia="仿宋" w:hAnsi="仿宋" w:cs="仿宋" w:hint="eastAsia"/>
          <w:kern w:val="0"/>
          <w:sz w:val="32"/>
          <w:szCs w:val="32"/>
        </w:rPr>
        <w:t xml:space="preserve"> 交易双方的纠纷尚未处理完毕前，转让方企业有权排除前述买方企业作为竞价人参与转让方企业的其他挂牌竞价；</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转让方企业与同一买方企业发生两次或两次以上纠纷的，转让方企业有权自后一次纠纷解决之日起6个月内排除前述买方企业作为竞价人参与转让方企业的其他挂牌竞价；</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同一买方企业与不同转让方企业发生三次或三次以上纠纷的，所有转让方企业均有权排除前述买方企业作为竞价人参与自己的挂牌竞价，但排除竞价时间一般不超过6个月，自转让方企业第一次排除之日起算，如需延长，需向交易中心提出申请并举证证明该买方企业的前述行为仍未予以纠正，交易中心有权进行审批或提交工作小组审批。</w:t>
      </w:r>
    </w:p>
    <w:p w:rsidR="00942EE6" w:rsidRDefault="00942EE6" w:rsidP="00942EE6">
      <w:pPr>
        <w:widowControl/>
        <w:shd w:val="clear" w:color="auto" w:fill="FFFFFF"/>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纠纷次数统计以交易方书面提交交易中心调解或司法途径解决的次数为准。</w:t>
      </w:r>
    </w:p>
    <w:p w:rsidR="00942EE6" w:rsidRDefault="00942EE6" w:rsidP="00942EE6">
      <w:pPr>
        <w:widowControl/>
        <w:numPr>
          <w:ilvl w:val="0"/>
          <w:numId w:val="1"/>
        </w:numPr>
        <w:shd w:val="clear" w:color="auto" w:fill="FFFFFF"/>
        <w:spacing w:line="560" w:lineRule="exact"/>
        <w:jc w:val="center"/>
        <w:rPr>
          <w:rFonts w:ascii="黑体" w:eastAsia="黑体" w:hAnsi="黑体" w:cs="黑体"/>
          <w:bCs/>
          <w:kern w:val="0"/>
          <w:sz w:val="32"/>
          <w:szCs w:val="32"/>
        </w:rPr>
      </w:pPr>
      <w:r>
        <w:rPr>
          <w:rFonts w:ascii="黑体" w:eastAsia="黑体" w:hAnsi="黑体" w:cs="黑体" w:hint="eastAsia"/>
          <w:bCs/>
          <w:kern w:val="0"/>
          <w:sz w:val="32"/>
          <w:szCs w:val="32"/>
        </w:rPr>
        <w:t>附则</w:t>
      </w:r>
    </w:p>
    <w:p w:rsidR="00942EE6" w:rsidRDefault="00942EE6" w:rsidP="00942EE6">
      <w:pPr>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第十六条</w:t>
      </w:r>
      <w:r>
        <w:rPr>
          <w:rFonts w:ascii="仿宋" w:eastAsia="仿宋" w:hAnsi="仿宋" w:cs="仿宋" w:hint="eastAsia"/>
          <w:kern w:val="0"/>
          <w:sz w:val="32"/>
          <w:szCs w:val="32"/>
        </w:rPr>
        <w:t xml:space="preserve">  本办法解释权归纠纷处理工作小组。</w:t>
      </w:r>
    </w:p>
    <w:p w:rsidR="00942EE6" w:rsidRDefault="00942EE6" w:rsidP="00942EE6">
      <w:pPr>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第十七条</w:t>
      </w:r>
      <w:r>
        <w:rPr>
          <w:rFonts w:ascii="仿宋" w:eastAsia="仿宋" w:hAnsi="仿宋" w:cs="仿宋" w:hint="eastAsia"/>
          <w:kern w:val="0"/>
          <w:sz w:val="32"/>
          <w:szCs w:val="32"/>
        </w:rPr>
        <w:t xml:space="preserve">  本办法自发文之日起正式实施。</w:t>
      </w:r>
    </w:p>
    <w:p w:rsidR="005B3FB6" w:rsidRPr="00942EE6" w:rsidRDefault="005B3FB6"/>
    <w:sectPr w:rsidR="005B3FB6" w:rsidRPr="00942E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japaneseCounting"/>
      <w:lvlText w:val="第%1章"/>
      <w:lvlJc w:val="left"/>
      <w:pPr>
        <w:ind w:left="1665" w:hanging="108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2EE6"/>
    <w:rsid w:val="005B3FB6"/>
    <w:rsid w:val="00942E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E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Words>
  <Characters>1937</Characters>
  <Application>Microsoft Office Word</Application>
  <DocSecurity>0</DocSecurity>
  <Lines>16</Lines>
  <Paragraphs>4</Paragraphs>
  <ScaleCrop>false</ScaleCrop>
  <Company>微软中国</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苏州产权</dc:creator>
  <cp:keywords/>
  <dc:description/>
  <cp:lastModifiedBy>苏州产权</cp:lastModifiedBy>
  <cp:revision>2</cp:revision>
  <dcterms:created xsi:type="dcterms:W3CDTF">2013-10-18T01:58:00Z</dcterms:created>
  <dcterms:modified xsi:type="dcterms:W3CDTF">2013-10-18T01:58:00Z</dcterms:modified>
</cp:coreProperties>
</file>