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C2A" w:rsidRPr="004C1C2A" w:rsidRDefault="004C1C2A" w:rsidP="004C1C2A">
      <w:pPr>
        <w:pStyle w:val="2"/>
        <w:jc w:val="center"/>
        <w:rPr>
          <w:rFonts w:asciiTheme="minorEastAsia" w:eastAsiaTheme="minorEastAsia" w:hAnsiTheme="minorEastAsia"/>
        </w:rPr>
      </w:pPr>
      <w:r w:rsidRPr="004C1C2A">
        <w:rPr>
          <w:rFonts w:asciiTheme="minorEastAsia" w:eastAsiaTheme="minorEastAsia" w:hAnsiTheme="minorEastAsia" w:hint="eastAsia"/>
        </w:rPr>
        <w:t>2015年加工贸易废料平台危险废料申报补充公告</w:t>
      </w:r>
    </w:p>
    <w:p w:rsidR="004C1C2A" w:rsidRPr="004C1C2A" w:rsidRDefault="004C1C2A" w:rsidP="004C1C2A">
      <w:pPr>
        <w:rPr>
          <w:rFonts w:asciiTheme="minorEastAsia" w:hAnsiTheme="minorEastAsia"/>
          <w:sz w:val="28"/>
          <w:szCs w:val="28"/>
        </w:rPr>
      </w:pPr>
      <w:r w:rsidRPr="004C1C2A">
        <w:rPr>
          <w:rFonts w:asciiTheme="minorEastAsia" w:hAnsiTheme="minorEastAsia" w:hint="eastAsia"/>
          <w:sz w:val="28"/>
          <w:szCs w:val="28"/>
        </w:rPr>
        <w:t>一、</w:t>
      </w:r>
      <w:proofErr w:type="gramStart"/>
      <w:r w:rsidRPr="004C1C2A">
        <w:rPr>
          <w:rFonts w:asciiTheme="minorEastAsia" w:hAnsiTheme="minorEastAsia" w:hint="eastAsia"/>
          <w:sz w:val="28"/>
          <w:szCs w:val="28"/>
        </w:rPr>
        <w:t>加贸企业危废</w:t>
      </w:r>
      <w:proofErr w:type="gramEnd"/>
      <w:r w:rsidRPr="004C1C2A">
        <w:rPr>
          <w:rFonts w:asciiTheme="minorEastAsia" w:hAnsiTheme="minorEastAsia" w:hint="eastAsia"/>
          <w:sz w:val="28"/>
          <w:szCs w:val="28"/>
        </w:rPr>
        <w:t>申报原则及定期资格交易周期的补充内容</w:t>
      </w:r>
    </w:p>
    <w:p w:rsidR="004C1C2A" w:rsidRPr="004C1C2A" w:rsidRDefault="004C1C2A" w:rsidP="00BB3EB0">
      <w:pPr>
        <w:ind w:firstLineChars="200" w:firstLine="560"/>
        <w:rPr>
          <w:rFonts w:asciiTheme="minorEastAsia" w:hAnsiTheme="minorEastAsia"/>
          <w:sz w:val="28"/>
          <w:szCs w:val="28"/>
        </w:rPr>
      </w:pPr>
      <w:r w:rsidRPr="004C1C2A">
        <w:rPr>
          <w:rFonts w:asciiTheme="minorEastAsia" w:hAnsiTheme="minorEastAsia" w:hint="eastAsia"/>
          <w:sz w:val="28"/>
          <w:szCs w:val="28"/>
        </w:rPr>
        <w:t>考虑到较多加贸</w:t>
      </w:r>
      <w:proofErr w:type="gramStart"/>
      <w:r w:rsidRPr="004C1C2A">
        <w:rPr>
          <w:rFonts w:asciiTheme="minorEastAsia" w:hAnsiTheme="minorEastAsia" w:hint="eastAsia"/>
          <w:sz w:val="28"/>
          <w:szCs w:val="28"/>
        </w:rPr>
        <w:t>企业危废年产量</w:t>
      </w:r>
      <w:proofErr w:type="gramEnd"/>
      <w:r w:rsidRPr="004C1C2A">
        <w:rPr>
          <w:rFonts w:asciiTheme="minorEastAsia" w:hAnsiTheme="minorEastAsia" w:hint="eastAsia"/>
          <w:sz w:val="28"/>
          <w:szCs w:val="28"/>
        </w:rPr>
        <w:t>较大，一方面为减轻其库存压力，另一方面为减轻其申报项目的难度，现产出量在100吨以上的，定期资格交易周期时限可在1个月-3个月进行选择申报。且平台在加贸企业提交2015</w:t>
      </w:r>
      <w:r w:rsidR="00267B42">
        <w:rPr>
          <w:rFonts w:asciiTheme="minorEastAsia" w:hAnsiTheme="minorEastAsia" w:hint="eastAsia"/>
          <w:sz w:val="28"/>
          <w:szCs w:val="28"/>
        </w:rPr>
        <w:t>年度</w:t>
      </w:r>
      <w:proofErr w:type="gramStart"/>
      <w:r w:rsidRPr="004C1C2A">
        <w:rPr>
          <w:rFonts w:asciiTheme="minorEastAsia" w:hAnsiTheme="minorEastAsia" w:hint="eastAsia"/>
          <w:sz w:val="28"/>
          <w:szCs w:val="28"/>
        </w:rPr>
        <w:t>危废项目</w:t>
      </w:r>
      <w:proofErr w:type="gramEnd"/>
      <w:r w:rsidRPr="004C1C2A">
        <w:rPr>
          <w:rFonts w:asciiTheme="minorEastAsia" w:hAnsiTheme="minorEastAsia" w:hint="eastAsia"/>
          <w:sz w:val="28"/>
          <w:szCs w:val="28"/>
        </w:rPr>
        <w:t>时，将会要求其提供说明是否同意</w:t>
      </w:r>
      <w:proofErr w:type="gramStart"/>
      <w:r w:rsidRPr="004C1C2A">
        <w:rPr>
          <w:rFonts w:asciiTheme="minorEastAsia" w:hAnsiTheme="minorEastAsia" w:hint="eastAsia"/>
          <w:sz w:val="28"/>
          <w:szCs w:val="28"/>
        </w:rPr>
        <w:t>2015年危废许可证</w:t>
      </w:r>
      <w:proofErr w:type="gramEnd"/>
      <w:r w:rsidRPr="004C1C2A">
        <w:rPr>
          <w:rFonts w:asciiTheme="minorEastAsia" w:hAnsiTheme="minorEastAsia" w:hint="eastAsia"/>
          <w:sz w:val="28"/>
          <w:szCs w:val="28"/>
        </w:rPr>
        <w:t>不在其定期资格交易周</w:t>
      </w:r>
      <w:r w:rsidR="00FE09A0">
        <w:rPr>
          <w:rFonts w:asciiTheme="minorEastAsia" w:hAnsiTheme="minorEastAsia" w:hint="eastAsia"/>
          <w:sz w:val="28"/>
          <w:szCs w:val="28"/>
        </w:rPr>
        <w:t>期的申购，</w:t>
      </w:r>
      <w:proofErr w:type="gramStart"/>
      <w:r w:rsidR="00FE09A0">
        <w:rPr>
          <w:rFonts w:asciiTheme="minorEastAsia" w:hAnsiTheme="minorEastAsia" w:hint="eastAsia"/>
          <w:sz w:val="28"/>
          <w:szCs w:val="28"/>
        </w:rPr>
        <w:t>若加贸企业</w:t>
      </w:r>
      <w:proofErr w:type="gramEnd"/>
      <w:r w:rsidR="00FE09A0">
        <w:rPr>
          <w:rFonts w:asciiTheme="minorEastAsia" w:hAnsiTheme="minorEastAsia" w:hint="eastAsia"/>
          <w:sz w:val="28"/>
          <w:szCs w:val="28"/>
        </w:rPr>
        <w:t>不同意以上情形的申购，则申购将会不予以通过，如在规定时间</w:t>
      </w:r>
      <w:r w:rsidR="00EF6C47">
        <w:rPr>
          <w:rFonts w:asciiTheme="minorEastAsia" w:hAnsiTheme="minorEastAsia" w:hint="eastAsia"/>
          <w:sz w:val="28"/>
          <w:szCs w:val="28"/>
        </w:rPr>
        <w:t>（3个工作日）</w:t>
      </w:r>
      <w:proofErr w:type="gramStart"/>
      <w:r w:rsidR="00FE09A0">
        <w:rPr>
          <w:rFonts w:asciiTheme="minorEastAsia" w:hAnsiTheme="minorEastAsia" w:hint="eastAsia"/>
          <w:sz w:val="28"/>
          <w:szCs w:val="28"/>
        </w:rPr>
        <w:t>加贸企业</w:t>
      </w:r>
      <w:proofErr w:type="gramEnd"/>
      <w:r w:rsidR="00FE09A0">
        <w:rPr>
          <w:rFonts w:asciiTheme="minorEastAsia" w:hAnsiTheme="minorEastAsia" w:hint="eastAsia"/>
          <w:sz w:val="28"/>
          <w:szCs w:val="28"/>
        </w:rPr>
        <w:t>未提交说明，平台将默认企业不同意</w:t>
      </w:r>
      <w:proofErr w:type="gramStart"/>
      <w:r w:rsidR="00FE09A0" w:rsidRPr="004C1C2A">
        <w:rPr>
          <w:rFonts w:asciiTheme="minorEastAsia" w:hAnsiTheme="minorEastAsia" w:hint="eastAsia"/>
          <w:sz w:val="28"/>
          <w:szCs w:val="28"/>
        </w:rPr>
        <w:t>2015年危废许可证</w:t>
      </w:r>
      <w:proofErr w:type="gramEnd"/>
      <w:r w:rsidR="00FE09A0" w:rsidRPr="004C1C2A">
        <w:rPr>
          <w:rFonts w:asciiTheme="minorEastAsia" w:hAnsiTheme="minorEastAsia" w:hint="eastAsia"/>
          <w:sz w:val="28"/>
          <w:szCs w:val="28"/>
        </w:rPr>
        <w:t>不在其定期资格交易周</w:t>
      </w:r>
      <w:r w:rsidR="00FE09A0">
        <w:rPr>
          <w:rFonts w:asciiTheme="minorEastAsia" w:hAnsiTheme="minorEastAsia" w:hint="eastAsia"/>
          <w:sz w:val="28"/>
          <w:szCs w:val="28"/>
        </w:rPr>
        <w:t>期企业的申购。</w:t>
      </w:r>
    </w:p>
    <w:p w:rsidR="00604C0F" w:rsidRPr="004C1C2A" w:rsidRDefault="00604C0F" w:rsidP="00604C0F">
      <w:pPr>
        <w:pStyle w:val="a5"/>
        <w:ind w:firstLineChars="194" w:firstLine="543"/>
        <w:jc w:val="center"/>
        <w:rPr>
          <w:rFonts w:asciiTheme="minorEastAsia" w:hAnsiTheme="minorEastAsia"/>
          <w:sz w:val="28"/>
          <w:szCs w:val="28"/>
        </w:rPr>
      </w:pPr>
      <w:r w:rsidRPr="004C1C2A">
        <w:rPr>
          <w:rFonts w:asciiTheme="minorEastAsia" w:hAnsiTheme="minorEastAsia" w:hint="eastAsia"/>
          <w:sz w:val="28"/>
          <w:szCs w:val="28"/>
        </w:rPr>
        <w:t>调整后的申报原则</w:t>
      </w:r>
    </w:p>
    <w:tbl>
      <w:tblPr>
        <w:tblStyle w:val="a6"/>
        <w:tblW w:w="0" w:type="auto"/>
        <w:tblInd w:w="480" w:type="dxa"/>
        <w:tblLook w:val="04A0"/>
      </w:tblPr>
      <w:tblGrid>
        <w:gridCol w:w="3597"/>
        <w:gridCol w:w="4111"/>
      </w:tblGrid>
      <w:tr w:rsidR="00604C0F" w:rsidRPr="004C1C2A" w:rsidTr="00A71364">
        <w:tc>
          <w:tcPr>
            <w:tcW w:w="3597" w:type="dxa"/>
          </w:tcPr>
          <w:p w:rsidR="00604C0F" w:rsidRPr="004C1C2A" w:rsidRDefault="00604C0F" w:rsidP="00A71364">
            <w:pPr>
              <w:widowControl/>
              <w:jc w:val="center"/>
              <w:rPr>
                <w:rFonts w:asciiTheme="minorEastAsia" w:hAnsiTheme="minorEastAsia"/>
                <w:sz w:val="28"/>
                <w:szCs w:val="28"/>
              </w:rPr>
            </w:pPr>
            <w:r w:rsidRPr="004C1C2A">
              <w:rPr>
                <w:rFonts w:asciiTheme="minorEastAsia" w:hAnsiTheme="minorEastAsia" w:hint="eastAsia"/>
                <w:sz w:val="28"/>
                <w:szCs w:val="28"/>
              </w:rPr>
              <w:t>年产出量</w:t>
            </w:r>
          </w:p>
        </w:tc>
        <w:tc>
          <w:tcPr>
            <w:tcW w:w="4111" w:type="dxa"/>
          </w:tcPr>
          <w:p w:rsidR="00604C0F" w:rsidRPr="004C1C2A" w:rsidRDefault="00604C0F" w:rsidP="00A71364">
            <w:pPr>
              <w:widowControl/>
              <w:jc w:val="center"/>
              <w:rPr>
                <w:rFonts w:asciiTheme="minorEastAsia" w:hAnsiTheme="minorEastAsia"/>
                <w:sz w:val="28"/>
                <w:szCs w:val="28"/>
              </w:rPr>
            </w:pPr>
            <w:r w:rsidRPr="004C1C2A">
              <w:rPr>
                <w:rFonts w:asciiTheme="minorEastAsia" w:hAnsiTheme="minorEastAsia" w:hint="eastAsia"/>
                <w:sz w:val="28"/>
                <w:szCs w:val="28"/>
              </w:rPr>
              <w:t>定期资格最长周期</w:t>
            </w:r>
          </w:p>
        </w:tc>
      </w:tr>
      <w:tr w:rsidR="00604C0F" w:rsidRPr="004C1C2A" w:rsidTr="00A71364">
        <w:tc>
          <w:tcPr>
            <w:tcW w:w="3597" w:type="dxa"/>
          </w:tcPr>
          <w:p w:rsidR="00604C0F" w:rsidRPr="004C1C2A" w:rsidRDefault="00604C0F" w:rsidP="00A71364">
            <w:pPr>
              <w:widowControl/>
              <w:jc w:val="center"/>
              <w:rPr>
                <w:rFonts w:asciiTheme="minorEastAsia" w:hAnsiTheme="minorEastAsia"/>
                <w:sz w:val="28"/>
                <w:szCs w:val="28"/>
              </w:rPr>
            </w:pPr>
            <w:r w:rsidRPr="004C1C2A">
              <w:rPr>
                <w:rFonts w:asciiTheme="minorEastAsia" w:hAnsiTheme="minorEastAsia"/>
                <w:sz w:val="28"/>
                <w:szCs w:val="28"/>
              </w:rPr>
              <w:t>10吨</w:t>
            </w:r>
            <w:r w:rsidRPr="004C1C2A">
              <w:rPr>
                <w:rFonts w:asciiTheme="minorEastAsia" w:hAnsiTheme="minorEastAsia" w:hint="eastAsia"/>
                <w:sz w:val="28"/>
                <w:szCs w:val="28"/>
              </w:rPr>
              <w:t>（</w:t>
            </w:r>
            <w:r w:rsidRPr="004C1C2A">
              <w:rPr>
                <w:rFonts w:asciiTheme="minorEastAsia" w:hAnsiTheme="minorEastAsia"/>
                <w:sz w:val="28"/>
                <w:szCs w:val="28"/>
              </w:rPr>
              <w:t>包含10吨</w:t>
            </w:r>
            <w:r w:rsidRPr="004C1C2A">
              <w:rPr>
                <w:rFonts w:asciiTheme="minorEastAsia" w:hAnsiTheme="minorEastAsia" w:hint="eastAsia"/>
                <w:sz w:val="28"/>
                <w:szCs w:val="28"/>
              </w:rPr>
              <w:t>）</w:t>
            </w:r>
          </w:p>
        </w:tc>
        <w:tc>
          <w:tcPr>
            <w:tcW w:w="4111" w:type="dxa"/>
          </w:tcPr>
          <w:p w:rsidR="00604C0F" w:rsidRPr="004C1C2A" w:rsidRDefault="00604C0F" w:rsidP="00A71364">
            <w:pPr>
              <w:widowControl/>
              <w:jc w:val="center"/>
              <w:rPr>
                <w:rFonts w:asciiTheme="minorEastAsia" w:hAnsiTheme="minorEastAsia"/>
                <w:sz w:val="28"/>
                <w:szCs w:val="28"/>
              </w:rPr>
            </w:pPr>
            <w:r w:rsidRPr="004C1C2A">
              <w:rPr>
                <w:rFonts w:asciiTheme="minorEastAsia" w:hAnsiTheme="minorEastAsia" w:hint="eastAsia"/>
                <w:sz w:val="28"/>
                <w:szCs w:val="28"/>
              </w:rPr>
              <w:t>12个月</w:t>
            </w:r>
          </w:p>
        </w:tc>
      </w:tr>
      <w:tr w:rsidR="00604C0F" w:rsidRPr="004C1C2A" w:rsidTr="00A71364">
        <w:tc>
          <w:tcPr>
            <w:tcW w:w="3597" w:type="dxa"/>
          </w:tcPr>
          <w:p w:rsidR="00604C0F" w:rsidRPr="004C1C2A" w:rsidRDefault="00604C0F" w:rsidP="00A71364">
            <w:pPr>
              <w:widowControl/>
              <w:jc w:val="center"/>
              <w:rPr>
                <w:rFonts w:asciiTheme="minorEastAsia" w:hAnsiTheme="minorEastAsia"/>
                <w:sz w:val="28"/>
                <w:szCs w:val="28"/>
              </w:rPr>
            </w:pPr>
            <w:r w:rsidRPr="004C1C2A">
              <w:rPr>
                <w:rFonts w:asciiTheme="minorEastAsia" w:hAnsiTheme="minorEastAsia" w:hint="eastAsia"/>
                <w:sz w:val="28"/>
                <w:szCs w:val="28"/>
              </w:rPr>
              <w:t>10-100吨</w:t>
            </w:r>
            <w:r w:rsidRPr="004C1C2A">
              <w:rPr>
                <w:rFonts w:asciiTheme="minorEastAsia" w:hAnsiTheme="minorEastAsia"/>
                <w:sz w:val="28"/>
                <w:szCs w:val="28"/>
              </w:rPr>
              <w:t>（包含100吨）</w:t>
            </w:r>
          </w:p>
        </w:tc>
        <w:tc>
          <w:tcPr>
            <w:tcW w:w="4111" w:type="dxa"/>
          </w:tcPr>
          <w:p w:rsidR="00604C0F" w:rsidRPr="004C1C2A" w:rsidRDefault="00604C0F" w:rsidP="00A71364">
            <w:pPr>
              <w:widowControl/>
              <w:jc w:val="center"/>
              <w:rPr>
                <w:rFonts w:asciiTheme="minorEastAsia" w:hAnsiTheme="minorEastAsia"/>
                <w:sz w:val="28"/>
                <w:szCs w:val="28"/>
              </w:rPr>
            </w:pPr>
            <w:r w:rsidRPr="004C1C2A">
              <w:rPr>
                <w:rFonts w:asciiTheme="minorEastAsia" w:hAnsiTheme="minorEastAsia" w:hint="eastAsia"/>
                <w:sz w:val="28"/>
                <w:szCs w:val="28"/>
              </w:rPr>
              <w:t>3个月</w:t>
            </w:r>
          </w:p>
        </w:tc>
      </w:tr>
      <w:tr w:rsidR="00604C0F" w:rsidRPr="004C1C2A" w:rsidTr="00A71364">
        <w:tc>
          <w:tcPr>
            <w:tcW w:w="3597" w:type="dxa"/>
          </w:tcPr>
          <w:p w:rsidR="00604C0F" w:rsidRPr="004C1C2A" w:rsidRDefault="00604C0F" w:rsidP="00A71364">
            <w:pPr>
              <w:widowControl/>
              <w:jc w:val="center"/>
              <w:rPr>
                <w:rFonts w:asciiTheme="minorEastAsia" w:hAnsiTheme="minorEastAsia"/>
                <w:sz w:val="28"/>
                <w:szCs w:val="28"/>
              </w:rPr>
            </w:pPr>
            <w:r w:rsidRPr="004C1C2A">
              <w:rPr>
                <w:rFonts w:asciiTheme="minorEastAsia" w:hAnsiTheme="minorEastAsia"/>
                <w:sz w:val="28"/>
                <w:szCs w:val="28"/>
              </w:rPr>
              <w:t>100吨以上</w:t>
            </w:r>
          </w:p>
        </w:tc>
        <w:tc>
          <w:tcPr>
            <w:tcW w:w="4111" w:type="dxa"/>
          </w:tcPr>
          <w:p w:rsidR="00604C0F" w:rsidRPr="004C1C2A" w:rsidRDefault="00604C0F" w:rsidP="00A71364">
            <w:pPr>
              <w:widowControl/>
              <w:jc w:val="center"/>
              <w:rPr>
                <w:rFonts w:asciiTheme="minorEastAsia" w:hAnsiTheme="minorEastAsia"/>
                <w:sz w:val="28"/>
                <w:szCs w:val="28"/>
              </w:rPr>
            </w:pPr>
            <w:r w:rsidRPr="004C1C2A">
              <w:rPr>
                <w:rFonts w:asciiTheme="minorEastAsia" w:hAnsiTheme="minorEastAsia" w:hint="eastAsia"/>
                <w:sz w:val="28"/>
                <w:szCs w:val="28"/>
              </w:rPr>
              <w:t>3个月</w:t>
            </w:r>
          </w:p>
        </w:tc>
      </w:tr>
    </w:tbl>
    <w:p w:rsidR="00604C0F" w:rsidRPr="004C1C2A" w:rsidRDefault="00604C0F" w:rsidP="00604C0F">
      <w:pPr>
        <w:pStyle w:val="a5"/>
        <w:ind w:firstLineChars="194" w:firstLine="543"/>
        <w:rPr>
          <w:rFonts w:asciiTheme="minorEastAsia" w:hAnsiTheme="minorEastAsia"/>
          <w:sz w:val="28"/>
          <w:szCs w:val="28"/>
        </w:rPr>
      </w:pPr>
    </w:p>
    <w:p w:rsidR="004C1C2A" w:rsidRPr="004C1C2A" w:rsidRDefault="00604C0F" w:rsidP="004C1C2A">
      <w:pPr>
        <w:rPr>
          <w:rFonts w:asciiTheme="minorEastAsia" w:hAnsiTheme="minorEastAsia"/>
          <w:sz w:val="28"/>
          <w:szCs w:val="28"/>
        </w:rPr>
      </w:pPr>
      <w:r>
        <w:rPr>
          <w:rFonts w:asciiTheme="minorEastAsia" w:hAnsiTheme="minorEastAsia" w:hint="eastAsia"/>
          <w:sz w:val="28"/>
          <w:szCs w:val="28"/>
        </w:rPr>
        <w:t>二</w:t>
      </w:r>
      <w:r w:rsidR="004C1C2A" w:rsidRPr="004C1C2A">
        <w:rPr>
          <w:rFonts w:asciiTheme="minorEastAsia" w:hAnsiTheme="minorEastAsia" w:hint="eastAsia"/>
          <w:sz w:val="28"/>
          <w:szCs w:val="28"/>
        </w:rPr>
        <w:t>、</w:t>
      </w:r>
      <w:proofErr w:type="gramStart"/>
      <w:r w:rsidR="004C1C2A" w:rsidRPr="004C1C2A">
        <w:rPr>
          <w:rFonts w:asciiTheme="minorEastAsia" w:hAnsiTheme="minorEastAsia" w:hint="eastAsia"/>
          <w:sz w:val="28"/>
          <w:szCs w:val="28"/>
        </w:rPr>
        <w:t>危废回收</w:t>
      </w:r>
      <w:proofErr w:type="gramEnd"/>
      <w:r w:rsidR="004C1C2A" w:rsidRPr="004C1C2A">
        <w:rPr>
          <w:rFonts w:asciiTheme="minorEastAsia" w:hAnsiTheme="minorEastAsia" w:hint="eastAsia"/>
          <w:sz w:val="28"/>
          <w:szCs w:val="28"/>
        </w:rPr>
        <w:t>企业申购原则的补充内容</w:t>
      </w:r>
    </w:p>
    <w:p w:rsidR="00B90E7B" w:rsidRPr="004C1C2A" w:rsidRDefault="004C1C2A" w:rsidP="00BB3EB0">
      <w:pPr>
        <w:ind w:firstLineChars="200" w:firstLine="560"/>
        <w:rPr>
          <w:rFonts w:asciiTheme="minorEastAsia" w:hAnsiTheme="minorEastAsia"/>
          <w:sz w:val="28"/>
          <w:szCs w:val="28"/>
        </w:rPr>
      </w:pPr>
      <w:r w:rsidRPr="004C1C2A">
        <w:rPr>
          <w:rFonts w:asciiTheme="minorEastAsia" w:hAnsiTheme="minorEastAsia" w:hint="eastAsia"/>
          <w:sz w:val="28"/>
          <w:szCs w:val="28"/>
        </w:rPr>
        <w:t>自本补充公告公示之日起，回收企业</w:t>
      </w:r>
      <w:proofErr w:type="gramStart"/>
      <w:r w:rsidRPr="004C1C2A">
        <w:rPr>
          <w:rFonts w:asciiTheme="minorEastAsia" w:hAnsiTheme="minorEastAsia" w:hint="eastAsia"/>
          <w:sz w:val="28"/>
          <w:szCs w:val="28"/>
        </w:rPr>
        <w:t>的危废经营许可证</w:t>
      </w:r>
      <w:proofErr w:type="gramEnd"/>
      <w:r w:rsidRPr="004C1C2A">
        <w:rPr>
          <w:rFonts w:asciiTheme="minorEastAsia" w:hAnsiTheme="minorEastAsia" w:hint="eastAsia"/>
          <w:sz w:val="28"/>
          <w:szCs w:val="28"/>
        </w:rPr>
        <w:t>有效期不能完全涵盖整个定期资格交易周期的，回收企业可尝试提前向环保部门申请换证。如加贸企业提供说明同意回收企业2015年危废许可证不在其定期资格交易周期的申购，回收企业</w:t>
      </w:r>
      <w:r>
        <w:rPr>
          <w:rFonts w:asciiTheme="minorEastAsia" w:hAnsiTheme="minorEastAsia" w:hint="eastAsia"/>
          <w:sz w:val="28"/>
          <w:szCs w:val="28"/>
        </w:rPr>
        <w:t>须</w:t>
      </w:r>
      <w:r w:rsidRPr="004C1C2A">
        <w:rPr>
          <w:rFonts w:asciiTheme="minorEastAsia" w:hAnsiTheme="minorEastAsia" w:hint="eastAsia"/>
          <w:sz w:val="28"/>
          <w:szCs w:val="28"/>
        </w:rPr>
        <w:t>向加工贸易废料交易平</w:t>
      </w:r>
      <w:r w:rsidRPr="004C1C2A">
        <w:rPr>
          <w:rFonts w:asciiTheme="minorEastAsia" w:hAnsiTheme="minorEastAsia" w:hint="eastAsia"/>
          <w:sz w:val="28"/>
          <w:szCs w:val="28"/>
        </w:rPr>
        <w:lastRenderedPageBreak/>
        <w:t>台提供承诺函（见附件下载），并缴纳5万元的保证金，则申购将审批予以通过；如加贸企业提供说明不同意回收企业2015年危废许可证不在其定期资格交易周期的申购，则加贸平台申购审核将严格按照回收企业危废经营许可证有效期进行审核。</w:t>
      </w:r>
    </w:p>
    <w:p w:rsidR="004C1C2A" w:rsidRDefault="004C1C2A" w:rsidP="004C1C2A"/>
    <w:p w:rsidR="00604C0F" w:rsidRPr="004C1C2A" w:rsidRDefault="00604C0F" w:rsidP="00604C0F">
      <w:pPr>
        <w:pStyle w:val="a5"/>
        <w:ind w:firstLineChars="194" w:firstLine="543"/>
        <w:jc w:val="right"/>
        <w:rPr>
          <w:rFonts w:asciiTheme="minorEastAsia" w:hAnsiTheme="minorEastAsia"/>
          <w:sz w:val="28"/>
          <w:szCs w:val="28"/>
        </w:rPr>
      </w:pPr>
      <w:r w:rsidRPr="004C1C2A">
        <w:rPr>
          <w:rFonts w:asciiTheme="minorEastAsia" w:hAnsiTheme="minorEastAsia" w:hint="eastAsia"/>
          <w:sz w:val="28"/>
          <w:szCs w:val="28"/>
        </w:rPr>
        <w:t>2014年11月</w:t>
      </w:r>
      <w:r w:rsidR="00267B42">
        <w:rPr>
          <w:rFonts w:asciiTheme="minorEastAsia" w:hAnsiTheme="minorEastAsia" w:hint="eastAsia"/>
          <w:sz w:val="28"/>
          <w:szCs w:val="28"/>
        </w:rPr>
        <w:t>6</w:t>
      </w:r>
      <w:r w:rsidRPr="004C1C2A">
        <w:rPr>
          <w:rFonts w:asciiTheme="minorEastAsia" w:hAnsiTheme="minorEastAsia" w:hint="eastAsia"/>
          <w:sz w:val="28"/>
          <w:szCs w:val="28"/>
        </w:rPr>
        <w:t>日</w:t>
      </w:r>
    </w:p>
    <w:p w:rsidR="004C1C2A" w:rsidRDefault="004C1C2A" w:rsidP="004C1C2A">
      <w:pPr>
        <w:pStyle w:val="a5"/>
        <w:ind w:firstLineChars="194" w:firstLine="370"/>
        <w:jc w:val="righ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3C3396" w:rsidRDefault="003C3396" w:rsidP="004C1C2A">
      <w:pPr>
        <w:pStyle w:val="a5"/>
        <w:ind w:firstLineChars="194" w:firstLine="370"/>
        <w:jc w:val="left"/>
        <w:rPr>
          <w:rFonts w:ascii="Times New Roman" w:hAnsi="Times New Roman" w:cs="Times New Roman"/>
          <w:b/>
          <w:bCs/>
          <w:color w:val="000000"/>
          <w:sz w:val="19"/>
          <w:szCs w:val="19"/>
        </w:rPr>
      </w:pPr>
    </w:p>
    <w:p w:rsidR="004C1C2A" w:rsidRDefault="004C1C2A" w:rsidP="004C1C2A"/>
    <w:sectPr w:rsidR="004C1C2A" w:rsidSect="00B90E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B2C" w:rsidRDefault="000B2B2C" w:rsidP="004C1C2A">
      <w:r>
        <w:separator/>
      </w:r>
    </w:p>
  </w:endnote>
  <w:endnote w:type="continuationSeparator" w:id="0">
    <w:p w:rsidR="000B2B2C" w:rsidRDefault="000B2B2C" w:rsidP="004C1C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B2C" w:rsidRDefault="000B2B2C" w:rsidP="004C1C2A">
      <w:r>
        <w:separator/>
      </w:r>
    </w:p>
  </w:footnote>
  <w:footnote w:type="continuationSeparator" w:id="0">
    <w:p w:rsidR="000B2B2C" w:rsidRDefault="000B2B2C" w:rsidP="004C1C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1C2A"/>
    <w:rsid w:val="000B2B2C"/>
    <w:rsid w:val="001204DE"/>
    <w:rsid w:val="0019375E"/>
    <w:rsid w:val="001B0968"/>
    <w:rsid w:val="00267B42"/>
    <w:rsid w:val="002B234C"/>
    <w:rsid w:val="002B5ECA"/>
    <w:rsid w:val="003C3396"/>
    <w:rsid w:val="004C1C2A"/>
    <w:rsid w:val="0058182A"/>
    <w:rsid w:val="00604C0F"/>
    <w:rsid w:val="00906478"/>
    <w:rsid w:val="00AF6167"/>
    <w:rsid w:val="00B06743"/>
    <w:rsid w:val="00B90E7B"/>
    <w:rsid w:val="00BB3EB0"/>
    <w:rsid w:val="00C810B4"/>
    <w:rsid w:val="00EF6C47"/>
    <w:rsid w:val="00F21135"/>
    <w:rsid w:val="00FE09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E7B"/>
    <w:pPr>
      <w:widowControl w:val="0"/>
      <w:jc w:val="both"/>
    </w:pPr>
  </w:style>
  <w:style w:type="paragraph" w:styleId="1">
    <w:name w:val="heading 1"/>
    <w:basedOn w:val="a"/>
    <w:next w:val="a"/>
    <w:link w:val="1Char"/>
    <w:uiPriority w:val="9"/>
    <w:qFormat/>
    <w:rsid w:val="004C1C2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C1C2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1C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1C2A"/>
    <w:rPr>
      <w:sz w:val="18"/>
      <w:szCs w:val="18"/>
    </w:rPr>
  </w:style>
  <w:style w:type="paragraph" w:styleId="a4">
    <w:name w:val="footer"/>
    <w:basedOn w:val="a"/>
    <w:link w:val="Char0"/>
    <w:uiPriority w:val="99"/>
    <w:semiHidden/>
    <w:unhideWhenUsed/>
    <w:rsid w:val="004C1C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1C2A"/>
    <w:rPr>
      <w:sz w:val="18"/>
      <w:szCs w:val="18"/>
    </w:rPr>
  </w:style>
  <w:style w:type="paragraph" w:styleId="a5">
    <w:name w:val="List Paragraph"/>
    <w:basedOn w:val="a"/>
    <w:uiPriority w:val="34"/>
    <w:qFormat/>
    <w:rsid w:val="004C1C2A"/>
    <w:pPr>
      <w:ind w:firstLineChars="200" w:firstLine="420"/>
    </w:pPr>
  </w:style>
  <w:style w:type="table" w:styleId="a6">
    <w:name w:val="Table Grid"/>
    <w:basedOn w:val="a1"/>
    <w:uiPriority w:val="59"/>
    <w:rsid w:val="004C1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4C1C2A"/>
    <w:rPr>
      <w:b/>
      <w:bCs/>
      <w:kern w:val="44"/>
      <w:sz w:val="44"/>
      <w:szCs w:val="44"/>
    </w:rPr>
  </w:style>
  <w:style w:type="character" w:customStyle="1" w:styleId="2Char">
    <w:name w:val="标题 2 Char"/>
    <w:basedOn w:val="a0"/>
    <w:link w:val="2"/>
    <w:uiPriority w:val="9"/>
    <w:rsid w:val="004C1C2A"/>
    <w:rPr>
      <w:rFonts w:asciiTheme="majorHAnsi" w:eastAsiaTheme="majorEastAsia" w:hAnsiTheme="majorHAnsi" w:cstheme="majorBidi"/>
      <w:b/>
      <w:bCs/>
      <w:sz w:val="32"/>
      <w:szCs w:val="32"/>
    </w:rPr>
  </w:style>
  <w:style w:type="paragraph" w:styleId="a7">
    <w:name w:val="Balloon Text"/>
    <w:basedOn w:val="a"/>
    <w:link w:val="Char1"/>
    <w:uiPriority w:val="99"/>
    <w:semiHidden/>
    <w:unhideWhenUsed/>
    <w:rsid w:val="00267B42"/>
    <w:rPr>
      <w:sz w:val="18"/>
      <w:szCs w:val="18"/>
    </w:rPr>
  </w:style>
  <w:style w:type="character" w:customStyle="1" w:styleId="Char1">
    <w:name w:val="批注框文本 Char"/>
    <w:basedOn w:val="a0"/>
    <w:link w:val="a7"/>
    <w:uiPriority w:val="99"/>
    <w:semiHidden/>
    <w:rsid w:val="00267B4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renjie</dc:creator>
  <cp:lastModifiedBy>WANY</cp:lastModifiedBy>
  <cp:revision>14</cp:revision>
  <cp:lastPrinted>2014-11-06T06:58:00Z</cp:lastPrinted>
  <dcterms:created xsi:type="dcterms:W3CDTF">2014-11-04T01:22:00Z</dcterms:created>
  <dcterms:modified xsi:type="dcterms:W3CDTF">2014-11-06T08:25:00Z</dcterms:modified>
</cp:coreProperties>
</file>