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81" w:rsidRDefault="00CB3081" w:rsidP="00CB3081">
      <w:pPr>
        <w:pStyle w:val="1"/>
        <w:jc w:val="center"/>
      </w:pPr>
      <w:r>
        <w:t>中华人民共和国南京海关公告2015年第8号</w:t>
      </w:r>
    </w:p>
    <w:p w:rsidR="00CB3081" w:rsidRPr="00CB3081" w:rsidRDefault="00CB3081" w:rsidP="00CB3081">
      <w:pPr>
        <w:widowControl/>
        <w:jc w:val="left"/>
        <w:rPr>
          <w:rFonts w:ascii="仿宋_GB2312" w:eastAsia="仿宋_GB2312" w:hAnsi="宋体" w:cs="宋体"/>
          <w:kern w:val="0"/>
          <w:sz w:val="28"/>
          <w:szCs w:val="28"/>
        </w:rPr>
      </w:pPr>
      <w:r w:rsidRPr="00CB3081">
        <w:rPr>
          <w:rFonts w:ascii="仿宋_GB2312" w:eastAsia="仿宋_GB2312" w:hAnsi="宋体" w:cs="宋体" w:hint="eastAsia"/>
          <w:kern w:val="0"/>
          <w:sz w:val="28"/>
          <w:szCs w:val="28"/>
        </w:rPr>
        <w:t>根据《中华人民共和国海关立法工作管理规定》，南京海关对制发的规范性文件进行了全面清理，决定对部分规范性文件予以废止、修改，具体内容如下：</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一、南京海关决定废止的规范性文件</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（一）南京海关公告第5号（关于无纸通关的公告）。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（二）南京海关公告第9号（关于发布南京海关加工贸易计算机联网监管进出口商品归并规则的公告）。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（三）南京海关公告第10号（关于启用70种新版通用海关业务单证的公告）。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（四）南京海关公告第12号（关于进出口舱单数据录入规范的公告）。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（五）南京海关公告第14号（关于发布南京关区授权办理减免税审批管理办法的公告）。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（六）南京海关公告第15号（关于简化加工贸易海关监管行政许可业务操作的公告）。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（七）南京海关公告第16号（关于规范报关单位注册登记管理事项的公告）。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（八）南京海关公告第21号（关于发布南京海关加工贸易计算机联网监管业务操作规程的公告）。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（九）南京海关公告第22号（关于申领报关员资格证书的公</w:t>
      </w:r>
      <w:r w:rsidRPr="00CB3081">
        <w:rPr>
          <w:rFonts w:ascii="仿宋_GB2312" w:eastAsia="仿宋_GB2312" w:hAnsi="宋体" w:cs="宋体" w:hint="eastAsia"/>
          <w:kern w:val="0"/>
          <w:sz w:val="28"/>
          <w:szCs w:val="28"/>
        </w:rPr>
        <w:lastRenderedPageBreak/>
        <w:t>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（十）南京海关公告第24号（关于规范报关员注册登记事项的公告）。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（十一）南京海关公告第26号（关于规范代理加工贸易委托事项的公告）。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（十二）南京海关公告第32号（关于报关员IC卡记分管理规范的公告）。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（十三）南京海关公告第34号（关于规范报关</w:t>
      </w:r>
      <w:proofErr w:type="gramStart"/>
      <w:r w:rsidRPr="00CB3081">
        <w:rPr>
          <w:rFonts w:ascii="仿宋_GB2312" w:eastAsia="仿宋_GB2312" w:hAnsi="宋体" w:cs="宋体" w:hint="eastAsia"/>
          <w:kern w:val="0"/>
          <w:sz w:val="28"/>
          <w:szCs w:val="28"/>
        </w:rPr>
        <w:t>单修改</w:t>
      </w:r>
      <w:proofErr w:type="gramEnd"/>
      <w:r w:rsidRPr="00CB3081">
        <w:rPr>
          <w:rFonts w:ascii="仿宋_GB2312" w:eastAsia="仿宋_GB2312" w:hAnsi="宋体" w:cs="宋体" w:hint="eastAsia"/>
          <w:kern w:val="0"/>
          <w:sz w:val="28"/>
          <w:szCs w:val="28"/>
        </w:rPr>
        <w:t>和撤销事宜的公告）。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（十四）南京海关公告第37号（关于规范审单环节海关事务担保的公告）。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（十五）南京海关公告第38号（关于规范报关专用章的备案管理的公告）。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（十六）南京海关公告2008年第1号（关于明确新旧企业分类管理办法衔接的公告）。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（十七）南京海关公告2009年第2号（关于注册登记企业信息核查和数据清理有关事项的公告）。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（十八）南京海关公告2009年第4号（关于南京海关物流监控信息化管理系统海运部分报文格式制定说明、报文结构定义及填制规范的公告）。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（十九）南京海关公告2010年第2号（关于规范关区进口葡萄酒申报事项的公告）。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lastRenderedPageBreak/>
        <w:t>   </w:t>
      </w:r>
      <w:r w:rsidRPr="00CB3081">
        <w:rPr>
          <w:rFonts w:ascii="仿宋_GB2312" w:eastAsia="仿宋_GB2312" w:hAnsi="宋体" w:cs="宋体" w:hint="eastAsia"/>
          <w:kern w:val="0"/>
          <w:sz w:val="28"/>
          <w:szCs w:val="28"/>
        </w:rPr>
        <w:t xml:space="preserve"> （二十）南京海关公告2011年第3号（关于规范特殊监管区域货物的集中申报管理的公告）。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（二十一）南京海关公告2011年第4号（关于苏州地区保税仓库和出口监管仓库功能整合的公告）。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（二十二）南京海关公告2011年第5号（关于苏州地区保税加工货物内销“集中申报”事项的公告）。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（二十三）南京海关公告2011年第6号（关于苏州地区加工贸易外发加工事项的公告）。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（二十四）南京海关公告2011年第8号（关于苏州地区特殊监管区域间货物快速流转有关事项的公告）。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（二十五）南京海关公告2011年第9号（关于规范加工贸易监管货物内销业务操作的公告）。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（二十六）南京海关公告2012年第3号（关于办理企业管理业务事项的公告）。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（二十七）南京海关公告2013年第4号（关于规范进出口货物预归类服务试点工作的公告）。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二、南京海关决定修改的规范性文件</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（一）南京海关公告第17号附件《南京海关关于可重复使用包装物通关环节管理办法》作如下修改：</w:t>
      </w:r>
      <w:r w:rsidRPr="00CB3081">
        <w:rPr>
          <w:rFonts w:ascii="仿宋_GB2312" w:eastAsia="仿宋_GB2312" w:hAnsi="宋体" w:cs="宋体" w:hint="eastAsia"/>
          <w:kern w:val="0"/>
          <w:sz w:val="28"/>
          <w:szCs w:val="28"/>
        </w:rPr>
        <w:br/>
        <w:t>将第五条第一款第一项“包装货物进口的，单独以‘暂时进出货物’(代码2600，下同)贸易方式作无舱单申报，报关单征免性质栏填报‘其他法定’(代码299，下同)，征免栏填报‘保金’或‘保函’，</w:t>
      </w:r>
      <w:r w:rsidRPr="00CB3081">
        <w:rPr>
          <w:rFonts w:ascii="仿宋_GB2312" w:eastAsia="仿宋_GB2312" w:hAnsi="宋体" w:cs="宋体" w:hint="eastAsia"/>
          <w:kern w:val="0"/>
          <w:sz w:val="28"/>
          <w:szCs w:val="28"/>
        </w:rPr>
        <w:lastRenderedPageBreak/>
        <w:t>关联报关单栏填报所装载货物的报关单号，其他栏目按照《中华人民共和国进出口货物报关单填制规范》(海关总署公告2004年第34号)的有关规定填报；”修改为“包装货物进口的，单独以‘暂时进出货物’（代码2600，下同）贸易方式作无舱单申报，报关单征免性质栏填报‘其他法定’（代码299，下同），征免栏填报‘保金’或‘保函’，关联报关单栏填报所装载货物的报关单号，其他栏目按照《中华人民共和国进出口货物报关单填制规范》（海关总署公告2008年第52号）的有关规定填报”。</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（二）南京海关公告2011年第7号作如下修改：</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1. 将公告依据“《海关总署关于修改〈中华人民共和国海关对加工贸易货物监管办法〉的决定（二）》（海关总署令第195号）”修改为：“《中华人民共和国海关加工贸易货物监管办法》（海关总署令第219号）”。</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2. 将第三条第一款：“企业在办理加工贸易电子化手册和电子账册备案业务时”修改为：“企业在办理加工贸易电子化手册和电子账册设立业务时”。</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3. 将第三条第二款“企业申请办理加工贸易边角料、残次品复运出境业务，经主管海关审核同意后，海关采取属地申报、转关运输的方式对加工贸易边角料、残次品实施管理。企业在报关时，应具体列明货物的品名、规格、型号、数量和重量。残次品单耗不同的，其货物应分开申报、分开包装，否则，海关不予批准办理加工贸易边角料、残次品复运出境手续。”修改为“企业申请办理加工贸易边角</w:t>
      </w:r>
      <w:r w:rsidRPr="00CB3081">
        <w:rPr>
          <w:rFonts w:ascii="仿宋_GB2312" w:eastAsia="仿宋_GB2312" w:hAnsi="宋体" w:cs="宋体" w:hint="eastAsia"/>
          <w:kern w:val="0"/>
          <w:sz w:val="28"/>
          <w:szCs w:val="28"/>
        </w:rPr>
        <w:lastRenderedPageBreak/>
        <w:t>料、残次品复运出境业务，原则上通过属地申报、转关运输的方式进行申报。企业在报关时，应具体列明货物的品名、规格、型号、数量和重量。残次品单耗不同的，其货物应分开申报、分开包装”。</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4. 将第三条第三款“加工贸易边角料、残次品放弃、销毁管理。企业申请销毁处理加工贸易放弃货物，经海关审核同意后，应自海关</w:t>
      </w:r>
      <w:proofErr w:type="gramStart"/>
      <w:r w:rsidRPr="00CB3081">
        <w:rPr>
          <w:rFonts w:ascii="仿宋_GB2312" w:eastAsia="仿宋_GB2312" w:hAnsi="宋体" w:cs="宋体" w:hint="eastAsia"/>
          <w:kern w:val="0"/>
          <w:sz w:val="28"/>
          <w:szCs w:val="28"/>
        </w:rPr>
        <w:t>作出</w:t>
      </w:r>
      <w:proofErr w:type="gramEnd"/>
      <w:r w:rsidRPr="00CB3081">
        <w:rPr>
          <w:rFonts w:ascii="仿宋_GB2312" w:eastAsia="仿宋_GB2312" w:hAnsi="宋体" w:cs="宋体" w:hint="eastAsia"/>
          <w:kern w:val="0"/>
          <w:sz w:val="28"/>
          <w:szCs w:val="28"/>
        </w:rPr>
        <w:t>准予放弃决定之日起15日内完成全部放弃货物的销毁工作，并提供销毁货物清单、销毁报告以及销毁过程的全程录像光盘；其中，需销毁的加工贸易放弃货物为原进口料件或成品的，企业应在海关认可的销毁机构实施销毁并提供销毁机构出具的接收单据、销毁合同（或协议）和处置证明。”修改为“加工贸易边角料、残次品销毁管理，根据海关总署2014年33号公告要求执行”。</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（三）南京海关公告2011年第10号作如下修改：</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1. 将第三条“适用A类、AA类管理的企业可以向海关申请预审价”修改为“一般认证企业和高级认证企业可以向海关申请预审价”。</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2. 第四条第四款“A类、AA类企业管理类别调整决定书”修改为“一般认证企业和高级认证企业认证证书”。</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（四）南京海关公告2013年第6号作如下修改：</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1. 将公告依据“《中华人民共和国海关审定进出口货物完税价格办法》（海关总署令第148号）”和“《中华人民共和国海关关于加工贸易边角料、剩余料件、残次品、副产品和受灾保税货物的管理办法》（海关总署令第111号）”修改为“《中华人民共和国海关</w:t>
      </w:r>
      <w:r w:rsidRPr="00CB3081">
        <w:rPr>
          <w:rFonts w:ascii="仿宋_GB2312" w:eastAsia="仿宋_GB2312" w:hAnsi="宋体" w:cs="宋体" w:hint="eastAsia"/>
          <w:kern w:val="0"/>
          <w:sz w:val="28"/>
          <w:szCs w:val="28"/>
        </w:rPr>
        <w:lastRenderedPageBreak/>
        <w:t>审定内销保税货物完税价格办法》（海关总署令第211号）”和“《中华人民共和国海关关于加工贸易边角料、剩余料件、残次品、副产品和受灾保税货物的管理办法》（海关总署令第111号公布，海关总署令第218号修改）”。</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2. 公告附件《加工贸易废料资格竞标商品目录》中增加新的商品目录。明细如下：</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p>
    <w:tbl>
      <w:tblPr>
        <w:tblW w:w="5000" w:type="pct"/>
        <w:tblCellSpacing w:w="0" w:type="dxa"/>
        <w:tblCellMar>
          <w:left w:w="0" w:type="dxa"/>
          <w:right w:w="0" w:type="dxa"/>
        </w:tblCellMar>
        <w:tblLook w:val="04A0"/>
      </w:tblPr>
      <w:tblGrid>
        <w:gridCol w:w="2529"/>
        <w:gridCol w:w="5777"/>
      </w:tblGrid>
      <w:tr w:rsidR="00CB3081" w:rsidRPr="00CB3081" w:rsidTr="00CB3081">
        <w:trPr>
          <w:trHeight w:val="240"/>
          <w:tblCellSpacing w:w="0" w:type="dxa"/>
        </w:trPr>
        <w:tc>
          <w:tcPr>
            <w:tcW w:w="8865" w:type="dxa"/>
            <w:gridSpan w:val="2"/>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加工贸易废料资格竞标商品目录</w:t>
            </w:r>
          </w:p>
        </w:tc>
      </w:tr>
      <w:tr w:rsidR="00CB3081" w:rsidRPr="00CB3081" w:rsidTr="00CB3081">
        <w:trPr>
          <w:trHeight w:val="240"/>
          <w:tblCellSpacing w:w="0" w:type="dxa"/>
        </w:trPr>
        <w:tc>
          <w:tcPr>
            <w:tcW w:w="2685" w:type="dxa"/>
            <w:vAlign w:val="center"/>
            <w:hideMark/>
          </w:tcPr>
          <w:p w:rsidR="00CB3081" w:rsidRPr="00CB3081" w:rsidRDefault="00CB3081" w:rsidP="00CB3081">
            <w:pPr>
              <w:widowControl/>
              <w:jc w:val="left"/>
              <w:rPr>
                <w:rFonts w:ascii="宋体" w:eastAsia="宋体" w:hAnsi="宋体" w:cs="宋体"/>
                <w:kern w:val="0"/>
                <w:sz w:val="24"/>
                <w:szCs w:val="24"/>
              </w:rPr>
            </w:pPr>
            <w:proofErr w:type="gramStart"/>
            <w:r w:rsidRPr="00CB3081">
              <w:rPr>
                <w:rFonts w:ascii="宋体" w:eastAsia="宋体" w:hAnsi="宋体" w:cs="宋体"/>
                <w:kern w:val="0"/>
                <w:sz w:val="24"/>
                <w:szCs w:val="24"/>
              </w:rPr>
              <w:t>危废代码</w:t>
            </w:r>
            <w:proofErr w:type="gramEnd"/>
          </w:p>
        </w:tc>
        <w:tc>
          <w:tcPr>
            <w:tcW w:w="6180" w:type="dxa"/>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标的名称或类型</w:t>
            </w:r>
          </w:p>
        </w:tc>
      </w:tr>
      <w:tr w:rsidR="00CB3081" w:rsidRPr="00CB3081" w:rsidTr="00CB3081">
        <w:trPr>
          <w:trHeight w:val="675"/>
          <w:tblCellSpacing w:w="0" w:type="dxa"/>
        </w:trPr>
        <w:tc>
          <w:tcPr>
            <w:tcW w:w="2685" w:type="dxa"/>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 </w:t>
            </w:r>
          </w:p>
        </w:tc>
        <w:tc>
          <w:tcPr>
            <w:tcW w:w="6180" w:type="dxa"/>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废镁、</w:t>
            </w:r>
            <w:proofErr w:type="gramStart"/>
            <w:r w:rsidRPr="00CB3081">
              <w:rPr>
                <w:rFonts w:ascii="宋体" w:eastAsia="宋体" w:hAnsi="宋体" w:cs="宋体"/>
                <w:kern w:val="0"/>
                <w:sz w:val="24"/>
                <w:szCs w:val="24"/>
              </w:rPr>
              <w:t>镁屑</w:t>
            </w:r>
            <w:proofErr w:type="gramEnd"/>
          </w:p>
        </w:tc>
      </w:tr>
      <w:tr w:rsidR="00CB3081" w:rsidRPr="00CB3081" w:rsidTr="00CB3081">
        <w:trPr>
          <w:trHeight w:val="480"/>
          <w:tblCellSpacing w:w="0" w:type="dxa"/>
        </w:trPr>
        <w:tc>
          <w:tcPr>
            <w:tcW w:w="2685" w:type="dxa"/>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 </w:t>
            </w:r>
          </w:p>
        </w:tc>
        <w:tc>
          <w:tcPr>
            <w:tcW w:w="6180" w:type="dxa"/>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废碎纸和废碎膜</w:t>
            </w:r>
          </w:p>
        </w:tc>
      </w:tr>
      <w:tr w:rsidR="00CB3081" w:rsidRPr="00CB3081" w:rsidTr="00CB3081">
        <w:trPr>
          <w:trHeight w:val="480"/>
          <w:tblCellSpacing w:w="0" w:type="dxa"/>
        </w:trPr>
        <w:tc>
          <w:tcPr>
            <w:tcW w:w="2685" w:type="dxa"/>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 </w:t>
            </w:r>
          </w:p>
        </w:tc>
        <w:tc>
          <w:tcPr>
            <w:tcW w:w="6180" w:type="dxa"/>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咖啡渣</w:t>
            </w:r>
          </w:p>
        </w:tc>
      </w:tr>
      <w:tr w:rsidR="00CB3081" w:rsidRPr="00CB3081" w:rsidTr="00CB3081">
        <w:trPr>
          <w:trHeight w:val="480"/>
          <w:tblCellSpacing w:w="0" w:type="dxa"/>
        </w:trPr>
        <w:tc>
          <w:tcPr>
            <w:tcW w:w="2685" w:type="dxa"/>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HW49</w:t>
            </w:r>
          </w:p>
        </w:tc>
        <w:tc>
          <w:tcPr>
            <w:tcW w:w="6180" w:type="dxa"/>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废液晶显示屏</w:t>
            </w:r>
          </w:p>
        </w:tc>
      </w:tr>
    </w:tbl>
    <w:p w:rsidR="00CB3081" w:rsidRPr="00CB3081" w:rsidRDefault="00CB3081" w:rsidP="00CB3081">
      <w:pPr>
        <w:widowControl/>
        <w:jc w:val="left"/>
        <w:rPr>
          <w:rFonts w:ascii="仿宋_GB2312" w:eastAsia="仿宋_GB2312" w:hAnsi="宋体" w:cs="宋体" w:hint="eastAsia"/>
          <w:kern w:val="0"/>
          <w:sz w:val="28"/>
          <w:szCs w:val="28"/>
        </w:rPr>
      </w:pP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上述决定修改的4份公告根据本公告作相应修改，重新公布（见附件1至附件4）。</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本公告自2015年12月23日起施行。</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附件：1. 南京海关公告第17号</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2. 南京海关公告2011年第7号</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3. 南京海关公告2011年第10号</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4. 南京海关公告2013年第6号</w:t>
      </w:r>
    </w:p>
    <w:p w:rsidR="00CB3081" w:rsidRPr="00CB3081" w:rsidRDefault="00CB3081" w:rsidP="00CB3081">
      <w:pPr>
        <w:widowControl/>
        <w:jc w:val="right"/>
        <w:rPr>
          <w:rFonts w:ascii="仿宋_GB2312" w:eastAsia="仿宋_GB2312" w:hAnsi="宋体" w:cs="宋体" w:hint="eastAsia"/>
          <w:kern w:val="0"/>
          <w:sz w:val="28"/>
          <w:szCs w:val="28"/>
        </w:rPr>
      </w:pPr>
      <w:r w:rsidRPr="00CB3081">
        <w:rPr>
          <w:rFonts w:ascii="仿宋_GB2312" w:eastAsia="仿宋_GB2312" w:hAnsi="宋体" w:cs="宋体" w:hint="eastAsia"/>
          <w:kern w:val="0"/>
          <w:sz w:val="28"/>
          <w:szCs w:val="28"/>
        </w:rPr>
        <w:t>南京海关</w:t>
      </w:r>
      <w:r w:rsidRPr="00CB3081">
        <w:rPr>
          <w:rFonts w:ascii="仿宋_GB2312" w:eastAsia="仿宋_GB2312" w:hAnsi="宋体" w:cs="宋体" w:hint="eastAsia"/>
          <w:kern w:val="0"/>
          <w:sz w:val="28"/>
          <w:szCs w:val="28"/>
        </w:rPr>
        <w:br/>
        <w:t>2015年12月23日</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p>
    <w:p w:rsidR="00CB3081" w:rsidRPr="00CB3081" w:rsidRDefault="00CB3081" w:rsidP="00CB3081">
      <w:pPr>
        <w:widowControl/>
        <w:jc w:val="left"/>
        <w:rPr>
          <w:rFonts w:ascii="仿宋_GB2312" w:eastAsia="仿宋_GB2312" w:hAnsi="宋体" w:cs="宋体" w:hint="eastAsia"/>
          <w:kern w:val="0"/>
          <w:sz w:val="28"/>
          <w:szCs w:val="28"/>
        </w:rPr>
      </w:pPr>
      <w:r w:rsidRPr="00CB3081">
        <w:rPr>
          <w:rFonts w:ascii="仿宋_GB2312" w:eastAsia="仿宋_GB2312" w:hAnsi="宋体" w:cs="宋体" w:hint="eastAsia"/>
          <w:kern w:val="0"/>
          <w:sz w:val="28"/>
          <w:szCs w:val="28"/>
        </w:rPr>
        <w:lastRenderedPageBreak/>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t xml:space="preserve">附件1 </w:t>
      </w:r>
    </w:p>
    <w:p w:rsidR="00CB3081" w:rsidRPr="00CB3081" w:rsidRDefault="00CB3081" w:rsidP="00CB3081">
      <w:pPr>
        <w:widowControl/>
        <w:jc w:val="center"/>
        <w:rPr>
          <w:rFonts w:ascii="仿宋_GB2312" w:eastAsia="仿宋_GB2312" w:hAnsi="宋体" w:cs="宋体" w:hint="eastAsia"/>
          <w:kern w:val="0"/>
          <w:sz w:val="28"/>
          <w:szCs w:val="28"/>
        </w:rPr>
      </w:pPr>
      <w:r w:rsidRPr="00CB3081">
        <w:rPr>
          <w:rFonts w:ascii="仿宋_GB2312" w:eastAsia="仿宋_GB2312" w:hAnsi="宋体" w:cs="宋体" w:hint="eastAsia"/>
          <w:kern w:val="0"/>
          <w:sz w:val="28"/>
          <w:szCs w:val="28"/>
        </w:rPr>
        <w:t>南京海关公告第17号</w:t>
      </w:r>
    </w:p>
    <w:p w:rsidR="00CB3081" w:rsidRPr="00CB3081" w:rsidRDefault="00CB3081" w:rsidP="00CB3081">
      <w:pPr>
        <w:widowControl/>
        <w:jc w:val="left"/>
        <w:rPr>
          <w:rFonts w:ascii="仿宋_GB2312" w:eastAsia="仿宋_GB2312" w:hAnsi="宋体" w:cs="宋体" w:hint="eastAsia"/>
          <w:kern w:val="0"/>
          <w:sz w:val="28"/>
          <w:szCs w:val="28"/>
        </w:rPr>
      </w:pP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为进一步完善南京关区进出口货物中可重复使用的包装容器、承载工具在通关环节的管理，规范现场操作，根据《中华人民共和国进出口关税条例》和《中华人民共和国进出口货物征税管理办法》（海关总署令第124号）等规定，南京海关制定了《南京海关关于可重复使用包装物的通关环节管理办法（试行）》(见附件)。自2005年7月1日起施行。</w:t>
      </w:r>
      <w:r w:rsidRPr="00CB3081">
        <w:rPr>
          <w:rFonts w:ascii="仿宋_GB2312" w:eastAsia="仿宋_GB2312" w:hAnsi="宋体" w:cs="宋体" w:hint="eastAsia"/>
          <w:kern w:val="0"/>
          <w:sz w:val="28"/>
          <w:szCs w:val="28"/>
        </w:rPr>
        <w:br/>
        <w:t>特此公告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附件：南京海关关于可重复使用包装物的通关环节管理办法（试行）</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第一章</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总则</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第一条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为加强对可重复使用包装物通关环节的管理，规范海关业务操作，根据《中华人民共和国进出口关税条例》、《中华人民共和国进出口货物征税管理办法》（总署令第124号）、《海关总署关于保证金、风险担保金、抵押金的收取和管理办法》（</w:t>
      </w:r>
      <w:proofErr w:type="gramStart"/>
      <w:r w:rsidRPr="00CB3081">
        <w:rPr>
          <w:rFonts w:ascii="仿宋_GB2312" w:eastAsia="仿宋_GB2312" w:hAnsi="宋体" w:cs="宋体" w:hint="eastAsia"/>
          <w:kern w:val="0"/>
          <w:sz w:val="28"/>
          <w:szCs w:val="28"/>
        </w:rPr>
        <w:t>署办发</w:t>
      </w:r>
      <w:proofErr w:type="gramEnd"/>
      <w:r w:rsidRPr="00CB3081">
        <w:rPr>
          <w:rFonts w:ascii="仿宋_GB2312" w:eastAsia="仿宋_GB2312" w:hAnsi="宋体" w:cs="宋体" w:hint="eastAsia"/>
          <w:kern w:val="0"/>
          <w:sz w:val="28"/>
          <w:szCs w:val="28"/>
        </w:rPr>
        <w:t>〔1995〕958号）、《中华人民共和国海关对暂时进出口货物监管办法》（86</w:t>
      </w:r>
      <w:proofErr w:type="gramStart"/>
      <w:r w:rsidRPr="00CB3081">
        <w:rPr>
          <w:rFonts w:ascii="仿宋_GB2312" w:eastAsia="仿宋_GB2312" w:hAnsi="宋体" w:cs="宋体" w:hint="eastAsia"/>
          <w:kern w:val="0"/>
          <w:sz w:val="28"/>
          <w:szCs w:val="28"/>
        </w:rPr>
        <w:lastRenderedPageBreak/>
        <w:t>署货字</w:t>
      </w:r>
      <w:proofErr w:type="gramEnd"/>
      <w:r w:rsidRPr="00CB3081">
        <w:rPr>
          <w:rFonts w:ascii="仿宋_GB2312" w:eastAsia="仿宋_GB2312" w:hAnsi="宋体" w:cs="宋体" w:hint="eastAsia"/>
          <w:kern w:val="0"/>
          <w:sz w:val="28"/>
          <w:szCs w:val="28"/>
        </w:rPr>
        <w:t>第824号）及其他有关规定，制定本办法。</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第二条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本办法所称可重复使用包装物是指单独或随同货物进出口，重复使用于进出口货物的包装容器、固定托架、承载工具等。</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第三条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随同货物进出口且价格包含于货物之中的可重复使用包装物，不再复运出境或进境重复使用的，该包装物可随进出口货物一并申报，无需单独申报。</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第四条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前条所列范围以外的可重复使用包装物，无论源自境外或境内，在进出口通关环节均应单独申报。</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第二章</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可重复使用包装物的申报</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第五条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源自境外的可重复使用包装物进口时，按照下列规定申报：</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（一）包装货物进口的，单独以“暂时进出货物”（代码2600，下同）贸易方式作无舱单申报，报关单征</w:t>
      </w:r>
      <w:proofErr w:type="gramStart"/>
      <w:r w:rsidRPr="00CB3081">
        <w:rPr>
          <w:rFonts w:ascii="仿宋_GB2312" w:eastAsia="仿宋_GB2312" w:hAnsi="宋体" w:cs="宋体" w:hint="eastAsia"/>
          <w:kern w:val="0"/>
          <w:sz w:val="28"/>
          <w:szCs w:val="28"/>
        </w:rPr>
        <w:t>免性质栏</w:t>
      </w:r>
      <w:proofErr w:type="gramEnd"/>
      <w:r w:rsidRPr="00CB3081">
        <w:rPr>
          <w:rFonts w:ascii="仿宋_GB2312" w:eastAsia="仿宋_GB2312" w:hAnsi="宋体" w:cs="宋体" w:hint="eastAsia"/>
          <w:kern w:val="0"/>
          <w:sz w:val="28"/>
          <w:szCs w:val="28"/>
        </w:rPr>
        <w:t>填报“其他法定”（代码299，下同），</w:t>
      </w:r>
      <w:proofErr w:type="gramStart"/>
      <w:r w:rsidRPr="00CB3081">
        <w:rPr>
          <w:rFonts w:ascii="仿宋_GB2312" w:eastAsia="仿宋_GB2312" w:hAnsi="宋体" w:cs="宋体" w:hint="eastAsia"/>
          <w:kern w:val="0"/>
          <w:sz w:val="28"/>
          <w:szCs w:val="28"/>
        </w:rPr>
        <w:t>征免栏填报</w:t>
      </w:r>
      <w:proofErr w:type="gramEnd"/>
      <w:r w:rsidRPr="00CB3081">
        <w:rPr>
          <w:rFonts w:ascii="仿宋_GB2312" w:eastAsia="仿宋_GB2312" w:hAnsi="宋体" w:cs="宋体" w:hint="eastAsia"/>
          <w:kern w:val="0"/>
          <w:sz w:val="28"/>
          <w:szCs w:val="28"/>
        </w:rPr>
        <w:t>“保金”或“保函”，关联报关单栏填报所装载货物的报关单号，其他栏目按照《中华人民共和国进出口货物报关单填制规范》（海关总署公告2008年第52号）的有关规定填报；</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（二）单独进口用于包装货物出口的，以“暂时进出货物”贸易方式，按照实际舱单申报，其他栏目填报同上款。</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第六条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源自境外的可重复使用包装</w:t>
      </w:r>
      <w:proofErr w:type="gramStart"/>
      <w:r w:rsidRPr="00CB3081">
        <w:rPr>
          <w:rFonts w:ascii="仿宋_GB2312" w:eastAsia="仿宋_GB2312" w:hAnsi="宋体" w:cs="宋体" w:hint="eastAsia"/>
          <w:kern w:val="0"/>
          <w:sz w:val="28"/>
          <w:szCs w:val="28"/>
        </w:rPr>
        <w:t>物出口</w:t>
      </w:r>
      <w:proofErr w:type="gramEnd"/>
      <w:r w:rsidRPr="00CB3081">
        <w:rPr>
          <w:rFonts w:ascii="仿宋_GB2312" w:eastAsia="仿宋_GB2312" w:hAnsi="宋体" w:cs="宋体" w:hint="eastAsia"/>
          <w:kern w:val="0"/>
          <w:sz w:val="28"/>
          <w:szCs w:val="28"/>
        </w:rPr>
        <w:t>时，按照下列规</w:t>
      </w:r>
      <w:r w:rsidRPr="00CB3081">
        <w:rPr>
          <w:rFonts w:ascii="仿宋_GB2312" w:eastAsia="仿宋_GB2312" w:hAnsi="宋体" w:cs="宋体" w:hint="eastAsia"/>
          <w:kern w:val="0"/>
          <w:sz w:val="28"/>
          <w:szCs w:val="28"/>
        </w:rPr>
        <w:lastRenderedPageBreak/>
        <w:t>定申报：</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（一）包装货物出口的，单独以“暂时进出货物”申报，征</w:t>
      </w:r>
      <w:proofErr w:type="gramStart"/>
      <w:r w:rsidRPr="00CB3081">
        <w:rPr>
          <w:rFonts w:ascii="仿宋_GB2312" w:eastAsia="仿宋_GB2312" w:hAnsi="宋体" w:cs="宋体" w:hint="eastAsia"/>
          <w:kern w:val="0"/>
          <w:sz w:val="28"/>
          <w:szCs w:val="28"/>
        </w:rPr>
        <w:t>免性质栏</w:t>
      </w:r>
      <w:proofErr w:type="gramEnd"/>
      <w:r w:rsidRPr="00CB3081">
        <w:rPr>
          <w:rFonts w:ascii="仿宋_GB2312" w:eastAsia="仿宋_GB2312" w:hAnsi="宋体" w:cs="宋体" w:hint="eastAsia"/>
          <w:kern w:val="0"/>
          <w:sz w:val="28"/>
          <w:szCs w:val="28"/>
        </w:rPr>
        <w:t>填报“其他法定”，</w:t>
      </w:r>
      <w:proofErr w:type="gramStart"/>
      <w:r w:rsidRPr="00CB3081">
        <w:rPr>
          <w:rFonts w:ascii="仿宋_GB2312" w:eastAsia="仿宋_GB2312" w:hAnsi="宋体" w:cs="宋体" w:hint="eastAsia"/>
          <w:kern w:val="0"/>
          <w:sz w:val="28"/>
          <w:szCs w:val="28"/>
        </w:rPr>
        <w:t>征免栏填报</w:t>
      </w:r>
      <w:proofErr w:type="gramEnd"/>
      <w:r w:rsidRPr="00CB3081">
        <w:rPr>
          <w:rFonts w:ascii="仿宋_GB2312" w:eastAsia="仿宋_GB2312" w:hAnsi="宋体" w:cs="宋体" w:hint="eastAsia"/>
          <w:kern w:val="0"/>
          <w:sz w:val="28"/>
          <w:szCs w:val="28"/>
        </w:rPr>
        <w:t>“全免”，关联报关单栏填报原“暂时进出货物”进口报关单号；</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（二）单独复运出口的，以“暂时进出货物”贸易方式申报，其他栏目填报同上款。</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第七条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源自境内的可重复使用包装物装载货物或单独出口时，以“暂时进出货物”申报，征</w:t>
      </w:r>
      <w:proofErr w:type="gramStart"/>
      <w:r w:rsidRPr="00CB3081">
        <w:rPr>
          <w:rFonts w:ascii="仿宋_GB2312" w:eastAsia="仿宋_GB2312" w:hAnsi="宋体" w:cs="宋体" w:hint="eastAsia"/>
          <w:kern w:val="0"/>
          <w:sz w:val="28"/>
          <w:szCs w:val="28"/>
        </w:rPr>
        <w:t>免性质栏</w:t>
      </w:r>
      <w:proofErr w:type="gramEnd"/>
      <w:r w:rsidRPr="00CB3081">
        <w:rPr>
          <w:rFonts w:ascii="仿宋_GB2312" w:eastAsia="仿宋_GB2312" w:hAnsi="宋体" w:cs="宋体" w:hint="eastAsia"/>
          <w:kern w:val="0"/>
          <w:sz w:val="28"/>
          <w:szCs w:val="28"/>
        </w:rPr>
        <w:t>填报“其他法定”，</w:t>
      </w:r>
      <w:proofErr w:type="gramStart"/>
      <w:r w:rsidRPr="00CB3081">
        <w:rPr>
          <w:rFonts w:ascii="仿宋_GB2312" w:eastAsia="仿宋_GB2312" w:hAnsi="宋体" w:cs="宋体" w:hint="eastAsia"/>
          <w:kern w:val="0"/>
          <w:sz w:val="28"/>
          <w:szCs w:val="28"/>
        </w:rPr>
        <w:t>征免栏填报</w:t>
      </w:r>
      <w:proofErr w:type="gramEnd"/>
      <w:r w:rsidRPr="00CB3081">
        <w:rPr>
          <w:rFonts w:ascii="仿宋_GB2312" w:eastAsia="仿宋_GB2312" w:hAnsi="宋体" w:cs="宋体" w:hint="eastAsia"/>
          <w:kern w:val="0"/>
          <w:sz w:val="28"/>
          <w:szCs w:val="28"/>
        </w:rPr>
        <w:t>“保函”。</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第八条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源自境内的可重复使用包装物装载货物或单独进口时，以“暂时进出货物”申报，征</w:t>
      </w:r>
      <w:proofErr w:type="gramStart"/>
      <w:r w:rsidRPr="00CB3081">
        <w:rPr>
          <w:rFonts w:ascii="仿宋_GB2312" w:eastAsia="仿宋_GB2312" w:hAnsi="宋体" w:cs="宋体" w:hint="eastAsia"/>
          <w:kern w:val="0"/>
          <w:sz w:val="28"/>
          <w:szCs w:val="28"/>
        </w:rPr>
        <w:t>免性质</w:t>
      </w:r>
      <w:proofErr w:type="gramEnd"/>
      <w:r w:rsidRPr="00CB3081">
        <w:rPr>
          <w:rFonts w:ascii="仿宋_GB2312" w:eastAsia="仿宋_GB2312" w:hAnsi="宋体" w:cs="宋体" w:hint="eastAsia"/>
          <w:kern w:val="0"/>
          <w:sz w:val="28"/>
          <w:szCs w:val="28"/>
        </w:rPr>
        <w:t>填报“其他法定”，</w:t>
      </w:r>
      <w:proofErr w:type="gramStart"/>
      <w:r w:rsidRPr="00CB3081">
        <w:rPr>
          <w:rFonts w:ascii="仿宋_GB2312" w:eastAsia="仿宋_GB2312" w:hAnsi="宋体" w:cs="宋体" w:hint="eastAsia"/>
          <w:kern w:val="0"/>
          <w:sz w:val="28"/>
          <w:szCs w:val="28"/>
        </w:rPr>
        <w:t>征免栏填报</w:t>
      </w:r>
      <w:proofErr w:type="gramEnd"/>
      <w:r w:rsidRPr="00CB3081">
        <w:rPr>
          <w:rFonts w:ascii="仿宋_GB2312" w:eastAsia="仿宋_GB2312" w:hAnsi="宋体" w:cs="宋体" w:hint="eastAsia"/>
          <w:kern w:val="0"/>
          <w:sz w:val="28"/>
          <w:szCs w:val="28"/>
        </w:rPr>
        <w:t>“全免”，关联报关单栏填报原“暂时进出货物”出口报关单号。</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第三章</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可重复使用包装物通关环节的管理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第九条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各海关应加强对可重复使用包装物在通关环节的管理。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第十条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各海关应在通关环节对可重复使用包装物实行台帐登记，记录其进出口及复运情况，及时核销“保证金”或“保证函”。</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第十一条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对以“暂时进出货物”方式进出口的，保金应按海关确定的应缴税款征收；保函应列明以下事项：保证在保函期限内进出境；保证为同一货物。</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lastRenderedPageBreak/>
        <w:t>   </w:t>
      </w:r>
      <w:r w:rsidRPr="00CB3081">
        <w:rPr>
          <w:rFonts w:ascii="仿宋_GB2312" w:eastAsia="仿宋_GB2312" w:hAnsi="宋体" w:cs="宋体" w:hint="eastAsia"/>
          <w:kern w:val="0"/>
          <w:sz w:val="28"/>
          <w:szCs w:val="28"/>
        </w:rPr>
        <w:t xml:space="preserve"> 第十二条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对于超出保金保函保证期限的，各海关应督促企业及时办理延期手续或可重复使用包装物进出口手续。</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第十三条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经海关批准，可重复使用包装</w:t>
      </w:r>
      <w:proofErr w:type="gramStart"/>
      <w:r w:rsidRPr="00CB3081">
        <w:rPr>
          <w:rFonts w:ascii="仿宋_GB2312" w:eastAsia="仿宋_GB2312" w:hAnsi="宋体" w:cs="宋体" w:hint="eastAsia"/>
          <w:kern w:val="0"/>
          <w:sz w:val="28"/>
          <w:szCs w:val="28"/>
        </w:rPr>
        <w:t>物不再</w:t>
      </w:r>
      <w:proofErr w:type="gramEnd"/>
      <w:r w:rsidRPr="00CB3081">
        <w:rPr>
          <w:rFonts w:ascii="仿宋_GB2312" w:eastAsia="仿宋_GB2312" w:hAnsi="宋体" w:cs="宋体" w:hint="eastAsia"/>
          <w:kern w:val="0"/>
          <w:sz w:val="28"/>
          <w:szCs w:val="28"/>
        </w:rPr>
        <w:t>复运出境或进境的，企业应再次填写报关单申报并办理纳税及有关手续，海关应按照《中华人民共和国进出口货物征税管理办法》（海关总署令第124号）有关规定，对原“暂时进出货物”进出口报关单的保金保函作核销处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第十四条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可重复使用包装物进出口频次较多，且</w:t>
      </w:r>
      <w:proofErr w:type="gramStart"/>
      <w:r w:rsidRPr="00CB3081">
        <w:rPr>
          <w:rFonts w:ascii="仿宋_GB2312" w:eastAsia="仿宋_GB2312" w:hAnsi="宋体" w:cs="宋体" w:hint="eastAsia"/>
          <w:kern w:val="0"/>
          <w:sz w:val="28"/>
          <w:szCs w:val="28"/>
        </w:rPr>
        <w:t>加贸部门</w:t>
      </w:r>
      <w:proofErr w:type="gramEnd"/>
      <w:r w:rsidRPr="00CB3081">
        <w:rPr>
          <w:rFonts w:ascii="仿宋_GB2312" w:eastAsia="仿宋_GB2312" w:hAnsi="宋体" w:cs="宋体" w:hint="eastAsia"/>
          <w:kern w:val="0"/>
          <w:sz w:val="28"/>
          <w:szCs w:val="28"/>
        </w:rPr>
        <w:t>在手册进出口项中已备案的，通关环节可不要求单独申报，也不再设立保金保函台帐管理，而是由企业在进出口货物报关</w:t>
      </w:r>
      <w:proofErr w:type="gramStart"/>
      <w:r w:rsidRPr="00CB3081">
        <w:rPr>
          <w:rFonts w:ascii="仿宋_GB2312" w:eastAsia="仿宋_GB2312" w:hAnsi="宋体" w:cs="宋体" w:hint="eastAsia"/>
          <w:kern w:val="0"/>
          <w:sz w:val="28"/>
          <w:szCs w:val="28"/>
        </w:rPr>
        <w:t>单上另项申报</w:t>
      </w:r>
      <w:proofErr w:type="gramEnd"/>
      <w:r w:rsidRPr="00CB3081">
        <w:rPr>
          <w:rFonts w:ascii="仿宋_GB2312" w:eastAsia="仿宋_GB2312" w:hAnsi="宋体" w:cs="宋体" w:hint="eastAsia"/>
          <w:kern w:val="0"/>
          <w:sz w:val="28"/>
          <w:szCs w:val="28"/>
        </w:rPr>
        <w:t>（贸易方式同手册），凭手册备案内容供海关审核并批注。包装物的最终平衡情况由</w:t>
      </w:r>
      <w:proofErr w:type="gramStart"/>
      <w:r w:rsidRPr="00CB3081">
        <w:rPr>
          <w:rFonts w:ascii="仿宋_GB2312" w:eastAsia="仿宋_GB2312" w:hAnsi="宋体" w:cs="宋体" w:hint="eastAsia"/>
          <w:kern w:val="0"/>
          <w:sz w:val="28"/>
          <w:szCs w:val="28"/>
        </w:rPr>
        <w:t>加贸部门</w:t>
      </w:r>
      <w:proofErr w:type="gramEnd"/>
      <w:r w:rsidRPr="00CB3081">
        <w:rPr>
          <w:rFonts w:ascii="仿宋_GB2312" w:eastAsia="仿宋_GB2312" w:hAnsi="宋体" w:cs="宋体" w:hint="eastAsia"/>
          <w:kern w:val="0"/>
          <w:sz w:val="28"/>
          <w:szCs w:val="28"/>
        </w:rPr>
        <w:t>根据报关单及手册内容进行核销掌握。</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第四章</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附则</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第十五条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对于列入《中华人民共和国对外贸易经济合作部、海关总署、国家质量监督检验检疫总局联合公告》（2001第37号）的禁止进口的旧钢瓶容器按以下要求办理：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一、以加工贸易方式进口的旧钢瓶容器由海关纳入加工贸易手册进行管理，海关凭检验检疫机构开具的《入境货物通关单》办理上述容器进口手续，并按规定予以核销；</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二、以暂时进口方式（监管方式代码2600）进口上述容器的，按现行规定办理，海关凭《入境货物通关单》予以验放。</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lastRenderedPageBreak/>
        <w:t>鉴于国家已对旧钢瓶容器禁止进口，如企业进口有关燃料、物料使用旧钢瓶容器，进口申报时应在报关单“包装种类”栏目填报为“旧钢瓶”（屏幕显示为“旧钢”），并增加打印</w:t>
      </w:r>
      <w:proofErr w:type="gramStart"/>
      <w:r w:rsidRPr="00CB3081">
        <w:rPr>
          <w:rFonts w:ascii="仿宋_GB2312" w:eastAsia="仿宋_GB2312" w:hAnsi="宋体" w:cs="宋体" w:hint="eastAsia"/>
          <w:kern w:val="0"/>
          <w:sz w:val="28"/>
          <w:szCs w:val="28"/>
        </w:rPr>
        <w:t>一</w:t>
      </w:r>
      <w:proofErr w:type="gramEnd"/>
      <w:r w:rsidRPr="00CB3081">
        <w:rPr>
          <w:rFonts w:ascii="仿宋_GB2312" w:eastAsia="仿宋_GB2312" w:hAnsi="宋体" w:cs="宋体" w:hint="eastAsia"/>
          <w:kern w:val="0"/>
          <w:sz w:val="28"/>
          <w:szCs w:val="28"/>
        </w:rPr>
        <w:t>联报关单用于办理旧钢瓶复出境手续。海关将旧钢瓶按暂时进口货物管理，监管其出境。旧钢瓶出境时报关单“监管方式”栏填报为“其他”（代码9900）。</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三、对出口的旧钢瓶容器，经检验检疫机构检验不合格的，属于原先进口的，允许复出口，但该产品不得再进口。出口货物使用的旧钢瓶容器需复运进境的，比照上述原则办理。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第十六条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法律法规或行政规章对可重复使用包装物已有专门规定的，按照其规定执行。</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第十七条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本办法由南京海关负责解释。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第十八条</w:t>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本办法自2005年7月1日起实施。</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br/>
        <w:t>附件2</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w:t>
      </w:r>
    </w:p>
    <w:p w:rsidR="00CB3081" w:rsidRPr="00CB3081" w:rsidRDefault="00CB3081" w:rsidP="00CB3081">
      <w:pPr>
        <w:widowControl/>
        <w:jc w:val="center"/>
        <w:rPr>
          <w:rFonts w:ascii="仿宋_GB2312" w:eastAsia="仿宋_GB2312" w:hAnsi="宋体" w:cs="宋体" w:hint="eastAsia"/>
          <w:kern w:val="0"/>
          <w:sz w:val="28"/>
          <w:szCs w:val="28"/>
        </w:rPr>
      </w:pPr>
      <w:r w:rsidRPr="00CB3081">
        <w:rPr>
          <w:rFonts w:ascii="仿宋_GB2312" w:eastAsia="仿宋_GB2312" w:hAnsi="宋体" w:cs="宋体" w:hint="eastAsia"/>
          <w:kern w:val="0"/>
          <w:sz w:val="28"/>
          <w:szCs w:val="28"/>
        </w:rPr>
        <w:t>南京海关公告2010年第7号</w:t>
      </w:r>
    </w:p>
    <w:p w:rsidR="00CB3081" w:rsidRPr="00CB3081" w:rsidRDefault="00CB3081" w:rsidP="00CB3081">
      <w:pPr>
        <w:widowControl/>
        <w:jc w:val="left"/>
        <w:rPr>
          <w:rFonts w:ascii="仿宋_GB2312" w:eastAsia="仿宋_GB2312" w:hAnsi="宋体" w:cs="宋体" w:hint="eastAsia"/>
          <w:kern w:val="0"/>
          <w:sz w:val="28"/>
          <w:szCs w:val="28"/>
        </w:rPr>
      </w:pP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为进一步统一、规范加工贸易边角料和残次品保税监管业务管理，根据《中华人民共和国海关关于加工贸易边角料、剩余料件、残次品、副产品和受灾保税货物的管理办法》（海关总署令第111号）、</w:t>
      </w:r>
      <w:r w:rsidRPr="00CB3081">
        <w:rPr>
          <w:rFonts w:ascii="仿宋_GB2312" w:eastAsia="仿宋_GB2312" w:hAnsi="宋体" w:cs="宋体" w:hint="eastAsia"/>
          <w:kern w:val="0"/>
          <w:sz w:val="28"/>
          <w:szCs w:val="28"/>
        </w:rPr>
        <w:lastRenderedPageBreak/>
        <w:t>《中华人民共和国海关加工贸易货物监管办法》（海关总署令第219号）和《中华人民共和国海关进出口货物报关单填制规范》（海关总署公告2008年第52号）等有关规定，现就相关事宜公告如下：</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一、加工贸易“不合格品”进出口申报管理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加工贸易“不合格品”是指在进出口环节伴随加工贸易保税货物一同进出口但无法与其物理分离而单独申报的，货物属性与加工贸易保税货物基本相同但品质存在问题的货物。</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企业申请办理加工贸易货物进出口，其中所包含的“不合格品”为海关监管货物，企业须如实申报。“合格品”与“不合格品”无法物理分开且不能单独申报的，海关将对“不合格品”统一按照“合格品”进行监管。企业申报进出口货物的数量应为实际进出口货物的数量，即“合格品”与“不合格品”数量的总和。具体申报方式如下：</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加工贸易货物进出口或进出海关特殊监管区域及场所的，海关按照实际进出口货物数量进行监管，企业申报进出口货物的数量应为实际进出口货物的数量，即进出口货物中“合格品”与“不合格品”数量的总和，“不合格品”货物申报价格应按照“合格品”的价格进行申报。</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（二）加工贸易货物深加工结转，企业转进、转出货物的数量应按实际结转货物的数量进行申报，海关对企业申报结转的货物进行监管。</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二、加工贸易边角料、残次品复运出境申报管理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企业在申报加工贸易边角料、残次品复运出境时，应按照实</w:t>
      </w:r>
      <w:r w:rsidRPr="00CB3081">
        <w:rPr>
          <w:rFonts w:ascii="仿宋_GB2312" w:eastAsia="仿宋_GB2312" w:hAnsi="宋体" w:cs="宋体" w:hint="eastAsia"/>
          <w:kern w:val="0"/>
          <w:sz w:val="28"/>
          <w:szCs w:val="28"/>
        </w:rPr>
        <w:lastRenderedPageBreak/>
        <w:t>际出口报验状态申报货物的品名、规格、型号、数量及价格。</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（一）加工贸易残次品复运出境监管方式。</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1．进料加工残次品复运出境申报。加工贸易进料加工残次品复运出境申报监管方式为“进料对口”（代码0615）或“进料非对口”（代码0715）。</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2. 来料加工残次品复运出境申报。加工贸易来料加工残次品复运出境申报监管方式为“来料加工”（代码0214）。</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（二）加工贸易边角料复运出境监管方式。</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加工贸易边角料复运出境申报监管方式为“进料边角料复出”（代码0865）或“来料边角料复出”（代码0864）。</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三、加工贸易边角料、残次品保税监管属地管理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（一）加工贸易边角料、残次品备案业务管理。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企业在办理加工贸易电子化手册和电子账册设立业务时，应向主管海关说明加工出口产品的实际生产工艺及加工出口产品所产生边角料、残次品的货物状态，报告其拟申请采取内销补税、复运出境、放弃或销毁边角料、残次品的处理方式，经海关审核同意后，企业按照海关关于加工贸易保税监管的有关管理规定办理加工贸易边角料、残次品的处理手续。</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加工贸易残次品复运出境，企业应事先向主管海关办理加工贸易备案业务，即在加工贸易电子化手册或电子账册中备案或新增残次品复运出境货物项号，并在备案商品品名后注明“残次品”。在填制出口报关单时，企业须在报关单备注栏内注明“残次品”。</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lastRenderedPageBreak/>
        <w:t>   </w:t>
      </w:r>
      <w:r w:rsidRPr="00CB3081">
        <w:rPr>
          <w:rFonts w:ascii="仿宋_GB2312" w:eastAsia="仿宋_GB2312" w:hAnsi="宋体" w:cs="宋体" w:hint="eastAsia"/>
          <w:kern w:val="0"/>
          <w:sz w:val="28"/>
          <w:szCs w:val="28"/>
        </w:rPr>
        <w:t xml:space="preserve"> （二）加工贸易边角料、残次品复运出境属地申报管理。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企业申请办理加工贸易边角料、残次品复运出境业务，原则上通过属地申报、转关运输的方式进行申报。企业在报关时，应具体列明货物的品名、规格、型号、数量和重量。残次品单耗不同的，其货物应分开申报、分开包装。</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（三）加工贸易边角料、残次品放弃、销毁管理，根据海关总署2014年33号公告要求执行。</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特此公告。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br/>
        <w:t>附件3</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w:t>
      </w:r>
    </w:p>
    <w:p w:rsidR="00CB3081" w:rsidRPr="00CB3081" w:rsidRDefault="00CB3081" w:rsidP="00CB3081">
      <w:pPr>
        <w:widowControl/>
        <w:jc w:val="center"/>
        <w:rPr>
          <w:rFonts w:ascii="仿宋_GB2312" w:eastAsia="仿宋_GB2312" w:hAnsi="宋体" w:cs="宋体" w:hint="eastAsia"/>
          <w:kern w:val="0"/>
          <w:sz w:val="28"/>
          <w:szCs w:val="28"/>
        </w:rPr>
      </w:pPr>
      <w:r w:rsidRPr="00CB3081">
        <w:rPr>
          <w:rFonts w:ascii="仿宋_GB2312" w:eastAsia="仿宋_GB2312" w:hAnsi="宋体" w:cs="宋体" w:hint="eastAsia"/>
          <w:kern w:val="0"/>
          <w:sz w:val="28"/>
          <w:szCs w:val="28"/>
        </w:rPr>
        <w:t>南京海关公告2011年第10号</w:t>
      </w:r>
    </w:p>
    <w:p w:rsidR="00CB3081" w:rsidRPr="00CB3081" w:rsidRDefault="00CB3081" w:rsidP="00CB3081">
      <w:pPr>
        <w:widowControl/>
        <w:jc w:val="left"/>
        <w:rPr>
          <w:rFonts w:ascii="仿宋_GB2312" w:eastAsia="仿宋_GB2312" w:hAnsi="宋体" w:cs="宋体" w:hint="eastAsia"/>
          <w:kern w:val="0"/>
          <w:sz w:val="28"/>
          <w:szCs w:val="28"/>
        </w:rPr>
      </w:pP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为了提高通关效率，保证海关正确审定进口货物的完税价格，根据《中华人民共和国进出口关税条例》、《中华人民共和国海关进出口货物征税管理办法》、《中华人民共和国海关审定进出口货物完税价格办法》（以下简称《审价办法》）的有关规定，现将进口货物价格预审核的有关规定公告如下：</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一、本公告所称进口货物价格预审核（以下简称预审价），是指经企业申请，货物进口地海关在货物实际申报进口前对其完税价</w:t>
      </w:r>
      <w:r w:rsidRPr="00CB3081">
        <w:rPr>
          <w:rFonts w:ascii="仿宋_GB2312" w:eastAsia="仿宋_GB2312" w:hAnsi="宋体" w:cs="宋体" w:hint="eastAsia"/>
          <w:kern w:val="0"/>
          <w:sz w:val="28"/>
          <w:szCs w:val="28"/>
        </w:rPr>
        <w:lastRenderedPageBreak/>
        <w:t>格进行审核，货物实际申报进口时，海关按照预审价确定的完税价格计征税款。</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二、公式定价进口货物、保税内销货物以及从海关特殊监管区域内销征税的货物不适用本规定。</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三、一般认证企业和高级认证企业可以向海关申请预审价。</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四、企业进口符合公告规定商品范围（附件4）的，可以在货物实际申报进口之前至少15个工作日，书面向货物进口地现场海关提交预审价申请，并提交下列材料：</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（一）《进口货物价格预审核申请单》（以下简称《预审价申请单》，详见附件1），每一份《预审价申请单》对应一份合同；</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（二）合同、发票等与货物进口有关的商业单证；</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（三）反映交易过程的业务函电及商品资料、价格行情等；</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（四）一般认证企业和高级认证企业认证证书；</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（五）海关要求提供的其他资料。</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五、申请企业应当对申请内容和所提供资料的真实性和完整性负责。海关应当依法保守申请企业的商业秘密。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六、对于在价格预审</w:t>
      </w:r>
      <w:proofErr w:type="gramStart"/>
      <w:r w:rsidRPr="00CB3081">
        <w:rPr>
          <w:rFonts w:ascii="仿宋_GB2312" w:eastAsia="仿宋_GB2312" w:hAnsi="宋体" w:cs="宋体" w:hint="eastAsia"/>
          <w:kern w:val="0"/>
          <w:sz w:val="28"/>
          <w:szCs w:val="28"/>
        </w:rPr>
        <w:t>核期间</w:t>
      </w:r>
      <w:proofErr w:type="gramEnd"/>
      <w:r w:rsidRPr="00CB3081">
        <w:rPr>
          <w:rFonts w:ascii="仿宋_GB2312" w:eastAsia="仿宋_GB2312" w:hAnsi="宋体" w:cs="宋体" w:hint="eastAsia"/>
          <w:kern w:val="0"/>
          <w:sz w:val="28"/>
          <w:szCs w:val="28"/>
        </w:rPr>
        <w:t>或企业补充材料期间，货物实际申报进口的，企业应当立即书面通知南京海关关税处和货物进口地现场海关。</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七、海关经审核认为企业申请价格符合成交价格有关规定的，出具《进口货物价格预审核决定书》（以下简称《预审价决定书》，详见附件2）。《预审价决定书》仅对申请企业本次申请的货物有效。</w:t>
      </w:r>
      <w:r w:rsidRPr="00CB3081">
        <w:rPr>
          <w:rFonts w:ascii="仿宋_GB2312" w:eastAsia="仿宋_GB2312" w:hAnsi="宋体" w:cs="宋体" w:hint="eastAsia"/>
          <w:kern w:val="0"/>
          <w:sz w:val="28"/>
          <w:szCs w:val="28"/>
        </w:rPr>
        <w:lastRenderedPageBreak/>
        <w:t>《预审价决定书》的有效期限为90天，特殊情况，经海关同意可以再延长30天。长期合同进口货物的《预审价决定书》有效期由海关按照合同履行期限确定。</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海关经审核认为企业申请价格不符</w:t>
      </w:r>
      <w:proofErr w:type="gramStart"/>
      <w:r w:rsidRPr="00CB3081">
        <w:rPr>
          <w:rFonts w:ascii="仿宋_GB2312" w:eastAsia="仿宋_GB2312" w:hAnsi="宋体" w:cs="宋体" w:hint="eastAsia"/>
          <w:kern w:val="0"/>
          <w:sz w:val="28"/>
          <w:szCs w:val="28"/>
        </w:rPr>
        <w:t>合成交</w:t>
      </w:r>
      <w:proofErr w:type="gramEnd"/>
      <w:r w:rsidRPr="00CB3081">
        <w:rPr>
          <w:rFonts w:ascii="仿宋_GB2312" w:eastAsia="仿宋_GB2312" w:hAnsi="宋体" w:cs="宋体" w:hint="eastAsia"/>
          <w:kern w:val="0"/>
          <w:sz w:val="28"/>
          <w:szCs w:val="28"/>
        </w:rPr>
        <w:t>价格有关规定或者成交价格不能确定的，出具《进口货物价格预审核告知书》（详见附件3），海关将按照《审价办法》及相关管理规定审查确定进口货物的完税价格，并通知企业按照正常报关程序申报进口。</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八、企业经预审</w:t>
      </w:r>
      <w:proofErr w:type="gramStart"/>
      <w:r w:rsidRPr="00CB3081">
        <w:rPr>
          <w:rFonts w:ascii="仿宋_GB2312" w:eastAsia="仿宋_GB2312" w:hAnsi="宋体" w:cs="宋体" w:hint="eastAsia"/>
          <w:kern w:val="0"/>
          <w:sz w:val="28"/>
          <w:szCs w:val="28"/>
        </w:rPr>
        <w:t>价申请</w:t>
      </w:r>
      <w:proofErr w:type="gramEnd"/>
      <w:r w:rsidRPr="00CB3081">
        <w:rPr>
          <w:rFonts w:ascii="仿宋_GB2312" w:eastAsia="仿宋_GB2312" w:hAnsi="宋体" w:cs="宋体" w:hint="eastAsia"/>
          <w:kern w:val="0"/>
          <w:sz w:val="28"/>
          <w:szCs w:val="28"/>
        </w:rPr>
        <w:t>获得海关出具的《预审价决定书》或《预审价告知书》的，应当在货物实际申报进口时，在报关单备注栏内填报《预审价决定书》或《预审价告知书》编号，并随附《预审价决定书》或《预审价告知书》复印件及进口申报所需的各项资料</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九、在海关预审</w:t>
      </w:r>
      <w:proofErr w:type="gramStart"/>
      <w:r w:rsidRPr="00CB3081">
        <w:rPr>
          <w:rFonts w:ascii="仿宋_GB2312" w:eastAsia="仿宋_GB2312" w:hAnsi="宋体" w:cs="宋体" w:hint="eastAsia"/>
          <w:kern w:val="0"/>
          <w:sz w:val="28"/>
          <w:szCs w:val="28"/>
        </w:rPr>
        <w:t>价申请</w:t>
      </w:r>
      <w:proofErr w:type="gramEnd"/>
      <w:r w:rsidRPr="00CB3081">
        <w:rPr>
          <w:rFonts w:ascii="仿宋_GB2312" w:eastAsia="仿宋_GB2312" w:hAnsi="宋体" w:cs="宋体" w:hint="eastAsia"/>
          <w:kern w:val="0"/>
          <w:sz w:val="28"/>
          <w:szCs w:val="28"/>
        </w:rPr>
        <w:t>审核期间或</w:t>
      </w:r>
      <w:proofErr w:type="gramStart"/>
      <w:r w:rsidRPr="00CB3081">
        <w:rPr>
          <w:rFonts w:ascii="仿宋_GB2312" w:eastAsia="仿宋_GB2312" w:hAnsi="宋体" w:cs="宋体" w:hint="eastAsia"/>
          <w:kern w:val="0"/>
          <w:sz w:val="28"/>
          <w:szCs w:val="28"/>
        </w:rPr>
        <w:t>作出</w:t>
      </w:r>
      <w:proofErr w:type="gramEnd"/>
      <w:r w:rsidRPr="00CB3081">
        <w:rPr>
          <w:rFonts w:ascii="仿宋_GB2312" w:eastAsia="仿宋_GB2312" w:hAnsi="宋体" w:cs="宋体" w:hint="eastAsia"/>
          <w:kern w:val="0"/>
          <w:sz w:val="28"/>
          <w:szCs w:val="28"/>
        </w:rPr>
        <w:t>预审价结论后，预审</w:t>
      </w:r>
      <w:proofErr w:type="gramStart"/>
      <w:r w:rsidRPr="00CB3081">
        <w:rPr>
          <w:rFonts w:ascii="仿宋_GB2312" w:eastAsia="仿宋_GB2312" w:hAnsi="宋体" w:cs="宋体" w:hint="eastAsia"/>
          <w:kern w:val="0"/>
          <w:sz w:val="28"/>
          <w:szCs w:val="28"/>
        </w:rPr>
        <w:t>价申请</w:t>
      </w:r>
      <w:proofErr w:type="gramEnd"/>
      <w:r w:rsidRPr="00CB3081">
        <w:rPr>
          <w:rFonts w:ascii="仿宋_GB2312" w:eastAsia="仿宋_GB2312" w:hAnsi="宋体" w:cs="宋体" w:hint="eastAsia"/>
          <w:kern w:val="0"/>
          <w:sz w:val="28"/>
          <w:szCs w:val="28"/>
        </w:rPr>
        <w:t>中内容发生变更的，企业应当立即向南京海关关税处和现场海关书面说明理由，并向现场海关重新提出预审价申请。</w:t>
      </w:r>
      <w:r w:rsidRPr="00CB3081">
        <w:rPr>
          <w:rFonts w:ascii="仿宋_GB2312" w:eastAsia="仿宋_GB2312" w:hAnsi="宋体" w:cs="宋体" w:hint="eastAsia"/>
          <w:kern w:val="0"/>
          <w:sz w:val="28"/>
          <w:szCs w:val="28"/>
        </w:rPr>
        <w:br/>
        <w:t>预审价结论撤销时，有关货物尚未申报进口的，海关可以接受企业重新提出的预审价申请；有关货物已经申报进口且已按照预审价确定的完税价格计征税款的，海关应当重新审查确定货物的完税价格，并按照有关规定对已经征收的税款进行调整并办理相应的退补税手续。</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预审价结论经撤销的，或者《预审价决定书》有效期届满的，《预审价决定书》自动失效。</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十、企业在货物申报和进口过程中违反海关管理规定的，海关依法按照相关规定处理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lastRenderedPageBreak/>
        <w:t>   </w:t>
      </w:r>
      <w:r w:rsidRPr="00CB3081">
        <w:rPr>
          <w:rFonts w:ascii="仿宋_GB2312" w:eastAsia="仿宋_GB2312" w:hAnsi="宋体" w:cs="宋体" w:hint="eastAsia"/>
          <w:kern w:val="0"/>
          <w:sz w:val="28"/>
          <w:szCs w:val="28"/>
        </w:rPr>
        <w:t xml:space="preserve"> 十一、海关将根据实际情况不定期调整预审价商品范围，并对外公告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十二、本公告自2012年1月1日起实施。</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特此公告。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br/>
        <w:t>附件4</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w:t>
      </w:r>
    </w:p>
    <w:p w:rsidR="00CB3081" w:rsidRPr="00CB3081" w:rsidRDefault="00CB3081" w:rsidP="00CB3081">
      <w:pPr>
        <w:widowControl/>
        <w:jc w:val="center"/>
        <w:rPr>
          <w:rFonts w:ascii="仿宋_GB2312" w:eastAsia="仿宋_GB2312" w:hAnsi="宋体" w:cs="宋体" w:hint="eastAsia"/>
          <w:kern w:val="0"/>
          <w:sz w:val="28"/>
          <w:szCs w:val="28"/>
        </w:rPr>
      </w:pPr>
      <w:r w:rsidRPr="00CB3081">
        <w:rPr>
          <w:rFonts w:ascii="仿宋_GB2312" w:eastAsia="仿宋_GB2312" w:hAnsi="宋体" w:cs="宋体" w:hint="eastAsia"/>
          <w:kern w:val="0"/>
          <w:sz w:val="28"/>
          <w:szCs w:val="28"/>
        </w:rPr>
        <w:t>南京海关公告2013年第6号</w:t>
      </w:r>
    </w:p>
    <w:p w:rsidR="00CB3081" w:rsidRPr="00CB3081" w:rsidRDefault="00CB3081" w:rsidP="00CB3081">
      <w:pPr>
        <w:widowControl/>
        <w:jc w:val="left"/>
        <w:rPr>
          <w:rFonts w:ascii="仿宋_GB2312" w:eastAsia="仿宋_GB2312" w:hAnsi="宋体" w:cs="宋体" w:hint="eastAsia"/>
          <w:kern w:val="0"/>
          <w:sz w:val="28"/>
          <w:szCs w:val="28"/>
        </w:rPr>
      </w:pP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为进一步规范加工贸易废料市场化交易管理，根据《中华人民共和国海关审定内销保税货物完税价格办法》（海关总署令第211号）和《中华人民共和国海关关于加工贸易边角料、剩余料件、残次品、副产品和受灾保税货物的管理办法》（海关总署令第111号公布，海关总署令第218号修改）等有关规定，现就相关事宜公告如下：</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一、加工贸易废料公开交易试点地区企业内销加工贸易边角料、副产品以及海关特殊监管区域内的边角料、残次品、废品等保税货物（以下简称“加工贸易废料”）应经过苏州加工贸易废料交易平台（以下简称“交易平台”）进行竞价、竞标交易，法律、行政法规、规章另有规定的除外。</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二、加工贸易废料公开交易方式应以现货竞价为主，定期资</w:t>
      </w:r>
      <w:r w:rsidRPr="00CB3081">
        <w:rPr>
          <w:rFonts w:ascii="仿宋_GB2312" w:eastAsia="仿宋_GB2312" w:hAnsi="宋体" w:cs="宋体" w:hint="eastAsia"/>
          <w:kern w:val="0"/>
          <w:sz w:val="28"/>
          <w:szCs w:val="28"/>
        </w:rPr>
        <w:lastRenderedPageBreak/>
        <w:t>格竞标为辅。海关将定期公布加工贸易废料资格竞标商品目录（见附件）。</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三、加工贸易废料通过交易平台进行交易不限定竞价、竞标次数，直至竞价、竞标成功。</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四、交易平台以海关审定的加工贸易废料价格作为起拍价进行竞价、竞标交易。加工贸易废料交易流拍后再拍，企业可按照起拍价最高10%的幅度依次下浮价格进行竞价、竞标交易。在交易完成后，海关按照交易平台的实际成交价格办理加工贸易废料内销征税手续。</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五、加工贸易废料通过交易平台进行公开交易后，经海关批准，企业可凭交易鉴定报告，并在向海关提供相当于内销货物应缴税款金额的保证金或者银行保函后，办理先内销加工贸易废料后缴纳税款手续。</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六、对于电子账册在同一核销周期内以及电子化手册在有效期内的加工贸易废料通过竞价、竞标交易与实际货物交割数量或含量存在差异且差异数值在3%及以内的货物，企业可通过交易平台按照</w:t>
      </w:r>
      <w:proofErr w:type="gramStart"/>
      <w:r w:rsidRPr="00CB3081">
        <w:rPr>
          <w:rFonts w:ascii="仿宋_GB2312" w:eastAsia="仿宋_GB2312" w:hAnsi="宋体" w:cs="宋体" w:hint="eastAsia"/>
          <w:kern w:val="0"/>
          <w:sz w:val="28"/>
          <w:szCs w:val="28"/>
        </w:rPr>
        <w:t>原公开</w:t>
      </w:r>
      <w:proofErr w:type="gramEnd"/>
      <w:r w:rsidRPr="00CB3081">
        <w:rPr>
          <w:rFonts w:ascii="仿宋_GB2312" w:eastAsia="仿宋_GB2312" w:hAnsi="宋体" w:cs="宋体" w:hint="eastAsia"/>
          <w:kern w:val="0"/>
          <w:sz w:val="28"/>
          <w:szCs w:val="28"/>
        </w:rPr>
        <w:t>交易的实际成交价格直接向海关办理内销征税手续。</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七、同一本电子账册在同一核销周期内以及电子化手册在核销周期内的加工贸易废料总价值在人民币1万元及以下的，企业可通过交易平台向海关提出内销申请，并经主管海关审核同意后，直接办理加工贸易货物内销补税手续，免予进行竞价、竞标交易。</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八、企业需自用加工贸易废料的，可通过交易平台向主管海关提出申请，并经南京海关审核批准后，免予加工贸易废料进行竞价、</w:t>
      </w:r>
      <w:r w:rsidRPr="00CB3081">
        <w:rPr>
          <w:rFonts w:ascii="仿宋_GB2312" w:eastAsia="仿宋_GB2312" w:hAnsi="宋体" w:cs="宋体" w:hint="eastAsia"/>
          <w:kern w:val="0"/>
          <w:sz w:val="28"/>
          <w:szCs w:val="28"/>
        </w:rPr>
        <w:lastRenderedPageBreak/>
        <w:t>竞标交易。</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九、海关特殊监管区域出区包装物料暂不实行市场化公开交易管理。</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十、本公告自2013年12月1日起施行。</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t xml:space="preserve"> 特此公告。</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r w:rsidRPr="00CB3081">
        <w:rPr>
          <w:rFonts w:ascii="仿宋_GB2312" w:eastAsia="仿宋_GB2312" w:hAnsi="宋体" w:cs="宋体" w:hint="eastAsia"/>
          <w:kern w:val="0"/>
          <w:sz w:val="28"/>
          <w:szCs w:val="28"/>
        </w:rPr>
        <w:br/>
        <w:t>附件：加工贸易废料定期资格竞标商品目录</w:t>
      </w:r>
      <w:r w:rsidRPr="00CB3081">
        <w:rPr>
          <w:rFonts w:ascii="仿宋_GB2312" w:eastAsia="仿宋_GB2312" w:hAnsi="宋体" w:cs="宋体" w:hint="eastAsia"/>
          <w:kern w:val="0"/>
          <w:sz w:val="28"/>
          <w:szCs w:val="28"/>
        </w:rPr>
        <w:br/>
      </w:r>
      <w:r w:rsidRPr="00CB3081">
        <w:rPr>
          <w:rFonts w:ascii="仿宋_GB2312" w:eastAsia="仿宋_GB2312" w:hAnsi="宋体" w:cs="宋体" w:hint="eastAsia"/>
          <w:kern w:val="0"/>
          <w:sz w:val="28"/>
          <w:szCs w:val="28"/>
        </w:rPr>
        <w:t>  </w:t>
      </w:r>
    </w:p>
    <w:tbl>
      <w:tblPr>
        <w:tblW w:w="8940" w:type="dxa"/>
        <w:tblCellSpacing w:w="0" w:type="dxa"/>
        <w:tblCellMar>
          <w:left w:w="0" w:type="dxa"/>
          <w:right w:w="0" w:type="dxa"/>
        </w:tblCellMar>
        <w:tblLook w:val="04A0"/>
      </w:tblPr>
      <w:tblGrid>
        <w:gridCol w:w="1575"/>
        <w:gridCol w:w="7365"/>
      </w:tblGrid>
      <w:tr w:rsidR="00CB3081" w:rsidRPr="00CB3081" w:rsidTr="00CB3081">
        <w:trPr>
          <w:trHeight w:val="630"/>
          <w:tblCellSpacing w:w="0" w:type="dxa"/>
        </w:trPr>
        <w:tc>
          <w:tcPr>
            <w:tcW w:w="8940" w:type="dxa"/>
            <w:gridSpan w:val="2"/>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加工贸易废料资格竞标商品目录</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proofErr w:type="gramStart"/>
            <w:r w:rsidRPr="00CB3081">
              <w:rPr>
                <w:rFonts w:ascii="宋体" w:eastAsia="宋体" w:hAnsi="宋体" w:cs="宋体"/>
                <w:kern w:val="0"/>
                <w:sz w:val="24"/>
                <w:szCs w:val="24"/>
              </w:rPr>
              <w:t>危废代码</w:t>
            </w:r>
            <w:proofErr w:type="gramEnd"/>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标的名称或类型</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HW49</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废</w:t>
            </w:r>
            <w:proofErr w:type="gramStart"/>
            <w:r w:rsidRPr="00CB3081">
              <w:rPr>
                <w:rFonts w:ascii="宋体" w:eastAsia="宋体" w:hAnsi="宋体" w:cs="宋体"/>
                <w:kern w:val="0"/>
                <w:sz w:val="24"/>
                <w:szCs w:val="24"/>
              </w:rPr>
              <w:t>线路板及覆铜板</w:t>
            </w:r>
            <w:proofErr w:type="gramEnd"/>
            <w:r w:rsidRPr="00CB3081">
              <w:rPr>
                <w:rFonts w:ascii="宋体" w:eastAsia="宋体" w:hAnsi="宋体" w:cs="宋体"/>
                <w:kern w:val="0"/>
                <w:sz w:val="24"/>
                <w:szCs w:val="24"/>
              </w:rPr>
              <w:t>边角料、废包装桶、废液晶显示屏</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HW22</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含铜蚀刻废液、含铜污泥</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HW34</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proofErr w:type="gramStart"/>
            <w:r w:rsidRPr="00CB3081">
              <w:rPr>
                <w:rFonts w:ascii="宋体" w:eastAsia="宋体" w:hAnsi="宋体" w:cs="宋体"/>
                <w:kern w:val="0"/>
                <w:sz w:val="24"/>
                <w:szCs w:val="24"/>
              </w:rPr>
              <w:t>退锡废液</w:t>
            </w:r>
            <w:proofErr w:type="gramEnd"/>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HW46</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含镍废液</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HW31</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含铅锡渣</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HW42</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废有机溶剂</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HW02</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医药废物</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HW06</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有机溶剂废物</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HW13</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有机树脂废物、含金树脂</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HW08</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废矿物油</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HW09</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废乳化液</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HW12</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染料涂料废物</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HW16</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感光处理废物</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HW29</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含汞废物</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HW32</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含氟废物</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HW33</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含金废液</w:t>
            </w:r>
          </w:p>
        </w:tc>
      </w:tr>
      <w:tr w:rsidR="00CB3081" w:rsidRPr="00CB3081" w:rsidTr="00CB3081">
        <w:trPr>
          <w:trHeight w:val="36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HW35</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废碱</w:t>
            </w:r>
          </w:p>
        </w:tc>
      </w:tr>
      <w:tr w:rsidR="00CB3081" w:rsidRPr="00CB3081" w:rsidTr="00CB3081">
        <w:trPr>
          <w:trHeight w:val="42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HW17</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铝的表面处理废物、含镍废液、</w:t>
            </w:r>
            <w:proofErr w:type="gramStart"/>
            <w:r w:rsidRPr="00CB3081">
              <w:rPr>
                <w:rFonts w:ascii="宋体" w:eastAsia="宋体" w:hAnsi="宋体" w:cs="宋体"/>
                <w:kern w:val="0"/>
                <w:sz w:val="24"/>
                <w:szCs w:val="24"/>
              </w:rPr>
              <w:t>退锡废液</w:t>
            </w:r>
            <w:proofErr w:type="gramEnd"/>
          </w:p>
        </w:tc>
      </w:tr>
      <w:tr w:rsidR="00CB3081" w:rsidRPr="00CB3081" w:rsidTr="00CB3081">
        <w:trPr>
          <w:trHeight w:val="42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 </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废镁、</w:t>
            </w:r>
            <w:proofErr w:type="gramStart"/>
            <w:r w:rsidRPr="00CB3081">
              <w:rPr>
                <w:rFonts w:ascii="宋体" w:eastAsia="宋体" w:hAnsi="宋体" w:cs="宋体"/>
                <w:kern w:val="0"/>
                <w:sz w:val="24"/>
                <w:szCs w:val="24"/>
              </w:rPr>
              <w:t>镁屑</w:t>
            </w:r>
            <w:proofErr w:type="gramEnd"/>
          </w:p>
        </w:tc>
      </w:tr>
      <w:tr w:rsidR="00CB3081" w:rsidRPr="00CB3081" w:rsidTr="00CB3081">
        <w:trPr>
          <w:trHeight w:val="42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 </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废碎纸和废碎膜</w:t>
            </w:r>
          </w:p>
        </w:tc>
      </w:tr>
      <w:tr w:rsidR="00CB3081" w:rsidRPr="00CB3081" w:rsidTr="00CB3081">
        <w:trPr>
          <w:trHeight w:val="420"/>
          <w:tblCellSpacing w:w="0" w:type="dxa"/>
        </w:trPr>
        <w:tc>
          <w:tcPr>
            <w:tcW w:w="157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 </w:t>
            </w:r>
          </w:p>
        </w:tc>
        <w:tc>
          <w:tcPr>
            <w:tcW w:w="7365" w:type="dxa"/>
            <w:noWrap/>
            <w:vAlign w:val="center"/>
            <w:hideMark/>
          </w:tcPr>
          <w:p w:rsidR="00CB3081" w:rsidRPr="00CB3081" w:rsidRDefault="00CB3081" w:rsidP="00CB3081">
            <w:pPr>
              <w:widowControl/>
              <w:jc w:val="left"/>
              <w:rPr>
                <w:rFonts w:ascii="宋体" w:eastAsia="宋体" w:hAnsi="宋体" w:cs="宋体"/>
                <w:kern w:val="0"/>
                <w:sz w:val="24"/>
                <w:szCs w:val="24"/>
              </w:rPr>
            </w:pPr>
            <w:r w:rsidRPr="00CB3081">
              <w:rPr>
                <w:rFonts w:ascii="宋体" w:eastAsia="宋体" w:hAnsi="宋体" w:cs="宋体"/>
                <w:kern w:val="0"/>
                <w:sz w:val="24"/>
                <w:szCs w:val="24"/>
              </w:rPr>
              <w:t>咖啡渣</w:t>
            </w:r>
          </w:p>
        </w:tc>
      </w:tr>
    </w:tbl>
    <w:p w:rsidR="00A963F3" w:rsidRPr="00CB3081" w:rsidRDefault="00A963F3"/>
    <w:sectPr w:rsidR="00A963F3" w:rsidRPr="00CB3081" w:rsidSect="00A963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FE3" w:rsidRDefault="009F0FE3" w:rsidP="00CB3081">
      <w:r>
        <w:separator/>
      </w:r>
    </w:p>
  </w:endnote>
  <w:endnote w:type="continuationSeparator" w:id="0">
    <w:p w:rsidR="009F0FE3" w:rsidRDefault="009F0FE3" w:rsidP="00CB30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FE3" w:rsidRDefault="009F0FE3" w:rsidP="00CB3081">
      <w:r>
        <w:separator/>
      </w:r>
    </w:p>
  </w:footnote>
  <w:footnote w:type="continuationSeparator" w:id="0">
    <w:p w:rsidR="009F0FE3" w:rsidRDefault="009F0FE3" w:rsidP="00CB30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3081"/>
    <w:rsid w:val="009F0FE3"/>
    <w:rsid w:val="00A963F3"/>
    <w:rsid w:val="00CB30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3F3"/>
    <w:pPr>
      <w:widowControl w:val="0"/>
      <w:jc w:val="both"/>
    </w:pPr>
  </w:style>
  <w:style w:type="paragraph" w:styleId="1">
    <w:name w:val="heading 1"/>
    <w:basedOn w:val="a"/>
    <w:link w:val="1Char"/>
    <w:uiPriority w:val="9"/>
    <w:qFormat/>
    <w:rsid w:val="00CB30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30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3081"/>
    <w:rPr>
      <w:sz w:val="18"/>
      <w:szCs w:val="18"/>
    </w:rPr>
  </w:style>
  <w:style w:type="paragraph" w:styleId="a4">
    <w:name w:val="footer"/>
    <w:basedOn w:val="a"/>
    <w:link w:val="Char0"/>
    <w:uiPriority w:val="99"/>
    <w:semiHidden/>
    <w:unhideWhenUsed/>
    <w:rsid w:val="00CB30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3081"/>
    <w:rPr>
      <w:sz w:val="18"/>
      <w:szCs w:val="18"/>
    </w:rPr>
  </w:style>
  <w:style w:type="character" w:customStyle="1" w:styleId="1Char">
    <w:name w:val="标题 1 Char"/>
    <w:basedOn w:val="a0"/>
    <w:link w:val="1"/>
    <w:uiPriority w:val="9"/>
    <w:rsid w:val="00CB3081"/>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381564694">
      <w:bodyDiv w:val="1"/>
      <w:marLeft w:val="0"/>
      <w:marRight w:val="0"/>
      <w:marTop w:val="0"/>
      <w:marBottom w:val="0"/>
      <w:divBdr>
        <w:top w:val="none" w:sz="0" w:space="0" w:color="auto"/>
        <w:left w:val="none" w:sz="0" w:space="0" w:color="auto"/>
        <w:bottom w:val="none" w:sz="0" w:space="0" w:color="auto"/>
        <w:right w:val="none" w:sz="0" w:space="0" w:color="auto"/>
      </w:divBdr>
      <w:divsChild>
        <w:div w:id="2087916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1455</Words>
  <Characters>8294</Characters>
  <Application>Microsoft Office Word</Application>
  <DocSecurity>0</DocSecurity>
  <Lines>69</Lines>
  <Paragraphs>19</Paragraphs>
  <ScaleCrop>false</ScaleCrop>
  <Company>微软中国</Company>
  <LinksUpToDate>false</LinksUpToDate>
  <CharactersWithSpaces>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2016-02-03T07:09:00Z</dcterms:created>
  <dcterms:modified xsi:type="dcterms:W3CDTF">2016-02-03T07:11:00Z</dcterms:modified>
</cp:coreProperties>
</file>